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B6E2" w14:textId="77777777" w:rsidR="009510E0" w:rsidRDefault="009510E0">
      <w:pPr>
        <w:sectPr w:rsidR="009510E0" w:rsidSect="009510E0">
          <w:headerReference w:type="first" r:id="rId6"/>
          <w:footerReference w:type="first" r:id="rId7"/>
          <w:pgSz w:w="12240" w:h="15840"/>
          <w:pgMar w:top="720" w:right="720" w:bottom="576" w:left="864" w:header="720" w:footer="288" w:gutter="0"/>
          <w:cols w:space="720"/>
          <w:titlePg/>
          <w:docGrid w:linePitch="360"/>
        </w:sectPr>
      </w:pPr>
    </w:p>
    <w:p w14:paraId="4F08E66D" w14:textId="744AE876" w:rsidR="00B65282" w:rsidRDefault="00B65282" w:rsidP="00B65282">
      <w:pPr>
        <w:rPr>
          <w:rFonts w:ascii="Times New Roman" w:hAnsi="Times New Roman" w:cs="Times New Roman"/>
        </w:rPr>
      </w:pPr>
      <w:r>
        <w:rPr>
          <w:rFonts w:ascii="Times New Roman" w:hAnsi="Times New Roman" w:cs="Times New Roman"/>
        </w:rPr>
        <w:t xml:space="preserve">This notice provides the Request for Proposal (RFP) No. </w:t>
      </w:r>
      <w:r w:rsidR="00EE6079">
        <w:rPr>
          <w:rFonts w:ascii="Times New Roman" w:hAnsi="Times New Roman" w:cs="Times New Roman"/>
        </w:rPr>
        <w:t>892433</w:t>
      </w:r>
      <w:r w:rsidR="00DF7277">
        <w:rPr>
          <w:rFonts w:ascii="Times New Roman" w:hAnsi="Times New Roman" w:cs="Times New Roman"/>
        </w:rPr>
        <w:t>25RFE000091</w:t>
      </w:r>
      <w:r>
        <w:rPr>
          <w:rFonts w:ascii="Times New Roman" w:hAnsi="Times New Roman" w:cs="Times New Roman"/>
        </w:rPr>
        <w:t xml:space="preserve">. Release of the RFP in no way commits the Government to procure this requirement. </w:t>
      </w:r>
    </w:p>
    <w:p w14:paraId="237CB3C6" w14:textId="6DFB3844" w:rsidR="00AB5F4E" w:rsidRPr="00AB5F4E" w:rsidRDefault="00B65282" w:rsidP="00AB5F4E">
      <w:pPr>
        <w:rPr>
          <w:rFonts w:ascii="Times New Roman" w:hAnsi="Times New Roman" w:cs="Times New Roman"/>
        </w:rPr>
      </w:pPr>
      <w:r>
        <w:rPr>
          <w:rFonts w:ascii="Times New Roman" w:hAnsi="Times New Roman" w:cs="Times New Roman"/>
        </w:rPr>
        <w:t>The U.S. Department of Energy (DOE), National Ener</w:t>
      </w:r>
      <w:r w:rsidR="001845B8">
        <w:rPr>
          <w:rFonts w:ascii="Times New Roman" w:hAnsi="Times New Roman" w:cs="Times New Roman"/>
        </w:rPr>
        <w:t xml:space="preserve">gy Technology Laboratory (NETL) </w:t>
      </w:r>
      <w:r w:rsidR="00DF7277">
        <w:rPr>
          <w:rFonts w:ascii="Times New Roman" w:hAnsi="Times New Roman" w:cs="Times New Roman"/>
        </w:rPr>
        <w:t>is issuing</w:t>
      </w:r>
      <w:r>
        <w:rPr>
          <w:rFonts w:ascii="Times New Roman" w:hAnsi="Times New Roman" w:cs="Times New Roman"/>
        </w:rPr>
        <w:t xml:space="preserve"> </w:t>
      </w:r>
      <w:r w:rsidR="00BA7BE0">
        <w:rPr>
          <w:rFonts w:ascii="Times New Roman" w:hAnsi="Times New Roman" w:cs="Times New Roman"/>
        </w:rPr>
        <w:t xml:space="preserve">a </w:t>
      </w:r>
      <w:r w:rsidR="00EB368C">
        <w:rPr>
          <w:rFonts w:ascii="Times New Roman" w:hAnsi="Times New Roman" w:cs="Times New Roman"/>
        </w:rPr>
        <w:t xml:space="preserve">competitive GSA </w:t>
      </w:r>
      <w:r>
        <w:rPr>
          <w:rFonts w:ascii="Times New Roman" w:hAnsi="Times New Roman" w:cs="Times New Roman"/>
        </w:rPr>
        <w:t xml:space="preserve">RFP </w:t>
      </w:r>
      <w:r w:rsidR="00DF7277">
        <w:rPr>
          <w:rFonts w:ascii="Times New Roman" w:hAnsi="Times New Roman" w:cs="Times New Roman"/>
        </w:rPr>
        <w:t>89243325RFE000091</w:t>
      </w:r>
      <w:r w:rsidR="00EB368C">
        <w:rPr>
          <w:rFonts w:ascii="Times New Roman" w:hAnsi="Times New Roman" w:cs="Times New Roman"/>
        </w:rPr>
        <w:t>, set aside for 8(a) s</w:t>
      </w:r>
      <w:r>
        <w:rPr>
          <w:rFonts w:ascii="Times New Roman" w:hAnsi="Times New Roman" w:cs="Times New Roman"/>
        </w:rPr>
        <w:t xml:space="preserve">mall business </w:t>
      </w:r>
      <w:r w:rsidR="00AB5F4E">
        <w:rPr>
          <w:rFonts w:ascii="Times New Roman" w:hAnsi="Times New Roman" w:cs="Times New Roman"/>
        </w:rPr>
        <w:t xml:space="preserve">for Site Security Services at the </w:t>
      </w:r>
      <w:r w:rsidR="00AB5F4E" w:rsidRPr="00AB5F4E">
        <w:rPr>
          <w:rFonts w:ascii="Times New Roman" w:hAnsi="Times New Roman" w:cs="Times New Roman"/>
        </w:rPr>
        <w:t xml:space="preserve">Albany, Oregon; Morgantown, West Virginia; and Pittsburgh, Pennsylvania facilities. </w:t>
      </w:r>
      <w:r w:rsidR="00EB368C" w:rsidRPr="00AA294C">
        <w:rPr>
          <w:rFonts w:ascii="Times New Roman" w:hAnsi="Times New Roman" w:cs="Times New Roman"/>
        </w:rPr>
        <w:t xml:space="preserve">The offeror is required to be a contract holder under GSA Federal Supply Schedules </w:t>
      </w:r>
      <w:r w:rsidR="00EB368C">
        <w:rPr>
          <w:rFonts w:ascii="Times New Roman" w:hAnsi="Times New Roman" w:cs="Times New Roman"/>
        </w:rPr>
        <w:t xml:space="preserve">to be considered for award. </w:t>
      </w:r>
      <w:r w:rsidR="00AB5F4E" w:rsidRPr="00AB5F4E">
        <w:rPr>
          <w:rFonts w:ascii="Times New Roman" w:hAnsi="Times New Roman" w:cs="Times New Roman"/>
        </w:rPr>
        <w:t xml:space="preserve">The resulting contract will be a firm fixed price contract with a base performance period of two (2) years with three (3) 1-year option periods for a potential </w:t>
      </w:r>
      <w:r w:rsidR="00EE6079" w:rsidRPr="00AB5F4E">
        <w:rPr>
          <w:rFonts w:ascii="Times New Roman" w:hAnsi="Times New Roman" w:cs="Times New Roman"/>
        </w:rPr>
        <w:t>5-year</w:t>
      </w:r>
      <w:r w:rsidR="00AB5F4E" w:rsidRPr="00AB5F4E">
        <w:rPr>
          <w:rFonts w:ascii="Times New Roman" w:hAnsi="Times New Roman" w:cs="Times New Roman"/>
        </w:rPr>
        <w:t xml:space="preserve"> total period of performance. It is anticipated that the award date for the resulting contract will </w:t>
      </w:r>
      <w:r w:rsidR="00AA294C">
        <w:rPr>
          <w:rFonts w:ascii="Times New Roman" w:hAnsi="Times New Roman" w:cs="Times New Roman"/>
        </w:rPr>
        <w:t xml:space="preserve">be </w:t>
      </w:r>
      <w:r w:rsidR="00DF7277">
        <w:rPr>
          <w:rFonts w:ascii="Times New Roman" w:hAnsi="Times New Roman" w:cs="Times New Roman"/>
        </w:rPr>
        <w:t>March 2025</w:t>
      </w:r>
      <w:r w:rsidR="00AB5F4E" w:rsidRPr="00AB5F4E">
        <w:rPr>
          <w:rFonts w:ascii="Times New Roman" w:hAnsi="Times New Roman" w:cs="Times New Roman"/>
        </w:rPr>
        <w:t xml:space="preserve"> with an effective date of </w:t>
      </w:r>
      <w:r w:rsidR="00DF7277">
        <w:rPr>
          <w:rFonts w:ascii="Times New Roman" w:hAnsi="Times New Roman" w:cs="Times New Roman"/>
        </w:rPr>
        <w:t>August 1, 2025</w:t>
      </w:r>
      <w:r w:rsidR="00AB5F4E" w:rsidRPr="00AB5F4E">
        <w:rPr>
          <w:rFonts w:ascii="Times New Roman" w:hAnsi="Times New Roman" w:cs="Times New Roman"/>
        </w:rPr>
        <w:t xml:space="preserve">. </w:t>
      </w:r>
    </w:p>
    <w:p w14:paraId="0209740C" w14:textId="4015D526" w:rsidR="00AB5F4E" w:rsidRPr="00AB5F4E" w:rsidRDefault="00AB5F4E" w:rsidP="00AB5F4E">
      <w:pPr>
        <w:rPr>
          <w:rFonts w:ascii="Times New Roman" w:hAnsi="Times New Roman" w:cs="Times New Roman"/>
        </w:rPr>
      </w:pPr>
      <w:r w:rsidRPr="00AB5F4E">
        <w:rPr>
          <w:rFonts w:ascii="Times New Roman" w:hAnsi="Times New Roman" w:cs="Times New Roman"/>
        </w:rPr>
        <w:t xml:space="preserve">The primary functions performed under this service contract will include management and administrative oversight and labor necessary to provide site security services for the NETL facilities in Albany, Oregon; Morgantown, West Virginia; and Pittsburgh, Pennsylvania. The level of effort is determined by security conditions as well as in response to short-term events such as conferences, VIP visits and emergencies.  The Contractor shall provide all personnel (to include required screening, </w:t>
      </w:r>
      <w:proofErr w:type="gramStart"/>
      <w:r w:rsidRPr="00AB5F4E">
        <w:rPr>
          <w:rFonts w:ascii="Times New Roman" w:hAnsi="Times New Roman" w:cs="Times New Roman"/>
        </w:rPr>
        <w:t>supervision</w:t>
      </w:r>
      <w:proofErr w:type="gramEnd"/>
      <w:r w:rsidRPr="00AB5F4E">
        <w:rPr>
          <w:rFonts w:ascii="Times New Roman" w:hAnsi="Times New Roman" w:cs="Times New Roman"/>
        </w:rPr>
        <w:t xml:space="preserve"> and training of those personnel), uniforms, equipment and supplies, as necessary, to perform security services.  Competent, trained, uniformed security officers who meet the standards for providing private guard services in the applicable locality and state shall be provided. All required licensing for each state, to include applicable business and security requirements, shall be maintained.</w:t>
      </w:r>
    </w:p>
    <w:p w14:paraId="79AC498A" w14:textId="5E898DD7" w:rsidR="00963D8A" w:rsidRDefault="00B65282" w:rsidP="004C7486">
      <w:pPr>
        <w:rPr>
          <w:rFonts w:ascii="Times New Roman" w:hAnsi="Times New Roman" w:cs="Times New Roman"/>
        </w:rPr>
      </w:pPr>
      <w:r>
        <w:rPr>
          <w:rFonts w:ascii="Times New Roman" w:hAnsi="Times New Roman" w:cs="Times New Roman"/>
        </w:rPr>
        <w:t>The North American Industrial Classification System (NAICS</w:t>
      </w:r>
      <w:r w:rsidR="001845B8">
        <w:rPr>
          <w:rFonts w:ascii="Times New Roman" w:hAnsi="Times New Roman" w:cs="Times New Roman"/>
        </w:rPr>
        <w:t xml:space="preserve">) code for this effort is </w:t>
      </w:r>
      <w:r w:rsidR="00AA294C">
        <w:rPr>
          <w:rFonts w:ascii="Times New Roman" w:hAnsi="Times New Roman" w:cs="Times New Roman"/>
        </w:rPr>
        <w:t>561612</w:t>
      </w:r>
      <w:r>
        <w:rPr>
          <w:rFonts w:ascii="Times New Roman" w:hAnsi="Times New Roman" w:cs="Times New Roman"/>
        </w:rPr>
        <w:t xml:space="preserve"> with a small</w:t>
      </w:r>
      <w:r w:rsidR="001845B8">
        <w:rPr>
          <w:rFonts w:ascii="Times New Roman" w:hAnsi="Times New Roman" w:cs="Times New Roman"/>
        </w:rPr>
        <w:t xml:space="preserve"> business s</w:t>
      </w:r>
      <w:r w:rsidR="00AA294C">
        <w:rPr>
          <w:rFonts w:ascii="Times New Roman" w:hAnsi="Times New Roman" w:cs="Times New Roman"/>
        </w:rPr>
        <w:t>ize standard of $2</w:t>
      </w:r>
      <w:r w:rsidR="00DF7277">
        <w:rPr>
          <w:rFonts w:ascii="Times New Roman" w:hAnsi="Times New Roman" w:cs="Times New Roman"/>
        </w:rPr>
        <w:t>9</w:t>
      </w:r>
      <w:r>
        <w:rPr>
          <w:rFonts w:ascii="Times New Roman" w:hAnsi="Times New Roman" w:cs="Times New Roman"/>
        </w:rPr>
        <w:t xml:space="preserve"> million.  </w:t>
      </w:r>
    </w:p>
    <w:p w14:paraId="357804A2" w14:textId="4097CE61" w:rsidR="00B65282" w:rsidRDefault="0043339B" w:rsidP="00B65282">
      <w:pPr>
        <w:rPr>
          <w:rFonts w:ascii="Times New Roman" w:hAnsi="Times New Roman" w:cs="Times New Roman"/>
        </w:rPr>
      </w:pPr>
      <w:r>
        <w:rPr>
          <w:rFonts w:ascii="Times New Roman" w:hAnsi="Times New Roman" w:cs="Times New Roman"/>
        </w:rPr>
        <w:t>All comments and questions submitted in response to this RFP must be submitted</w:t>
      </w:r>
      <w:r w:rsidR="00DD30FA">
        <w:rPr>
          <w:rFonts w:ascii="Times New Roman" w:hAnsi="Times New Roman" w:cs="Times New Roman"/>
        </w:rPr>
        <w:t xml:space="preserve"> </w:t>
      </w:r>
      <w:r w:rsidR="00DD30FA">
        <w:rPr>
          <w:rFonts w:ascii="Times New Roman" w:hAnsi="Times New Roman" w:cs="Times New Roman"/>
        </w:rPr>
        <w:t xml:space="preserve">through the </w:t>
      </w:r>
      <w:proofErr w:type="spellStart"/>
      <w:r w:rsidR="00DD30FA">
        <w:rPr>
          <w:rFonts w:ascii="Times New Roman" w:hAnsi="Times New Roman" w:cs="Times New Roman"/>
        </w:rPr>
        <w:t>fedconnect</w:t>
      </w:r>
      <w:proofErr w:type="spellEnd"/>
      <w:r w:rsidR="00DD30FA">
        <w:rPr>
          <w:rFonts w:ascii="Times New Roman" w:hAnsi="Times New Roman" w:cs="Times New Roman"/>
        </w:rPr>
        <w:t xml:space="preserve"> or GSA solicitation portal</w:t>
      </w:r>
      <w:r>
        <w:rPr>
          <w:rFonts w:ascii="Times New Roman" w:hAnsi="Times New Roman" w:cs="Times New Roman"/>
        </w:rPr>
        <w:t xml:space="preserve"> no later</w:t>
      </w:r>
      <w:r w:rsidR="0039137F">
        <w:rPr>
          <w:rFonts w:ascii="Times New Roman" w:hAnsi="Times New Roman" w:cs="Times New Roman"/>
        </w:rPr>
        <w:t xml:space="preserve"> than</w:t>
      </w:r>
      <w:r w:rsidR="006E4914">
        <w:rPr>
          <w:rFonts w:ascii="Times New Roman" w:hAnsi="Times New Roman" w:cs="Times New Roman"/>
        </w:rPr>
        <w:t xml:space="preserve"> </w:t>
      </w:r>
      <w:r w:rsidR="0059296F">
        <w:rPr>
          <w:rFonts w:ascii="Times New Roman" w:hAnsi="Times New Roman" w:cs="Times New Roman"/>
        </w:rPr>
        <w:t>1</w:t>
      </w:r>
      <w:r w:rsidR="006E4914">
        <w:rPr>
          <w:rFonts w:ascii="Times New Roman" w:hAnsi="Times New Roman" w:cs="Times New Roman"/>
        </w:rPr>
        <w:t>:00 PM on</w:t>
      </w:r>
      <w:r w:rsidR="0039137F">
        <w:rPr>
          <w:rFonts w:ascii="Times New Roman" w:hAnsi="Times New Roman" w:cs="Times New Roman"/>
        </w:rPr>
        <w:t xml:space="preserve"> </w:t>
      </w:r>
      <w:r w:rsidR="007C7AFF">
        <w:rPr>
          <w:rFonts w:ascii="Times New Roman" w:hAnsi="Times New Roman" w:cs="Times New Roman"/>
        </w:rPr>
        <w:t>Friday</w:t>
      </w:r>
      <w:r w:rsidR="00AA294C">
        <w:rPr>
          <w:rFonts w:ascii="Times New Roman" w:hAnsi="Times New Roman" w:cs="Times New Roman"/>
        </w:rPr>
        <w:t xml:space="preserve">, </w:t>
      </w:r>
      <w:r w:rsidR="007C7AFF">
        <w:rPr>
          <w:rFonts w:ascii="Times New Roman" w:hAnsi="Times New Roman" w:cs="Times New Roman"/>
        </w:rPr>
        <w:t xml:space="preserve">December </w:t>
      </w:r>
      <w:r w:rsidR="0059296F">
        <w:rPr>
          <w:rFonts w:ascii="Times New Roman" w:hAnsi="Times New Roman" w:cs="Times New Roman"/>
        </w:rPr>
        <w:t>20</w:t>
      </w:r>
      <w:r w:rsidR="007C7AFF">
        <w:rPr>
          <w:rFonts w:ascii="Times New Roman" w:hAnsi="Times New Roman" w:cs="Times New Roman"/>
        </w:rPr>
        <w:t>, 2024</w:t>
      </w:r>
      <w:r w:rsidR="0039137F">
        <w:rPr>
          <w:rFonts w:ascii="Times New Roman" w:hAnsi="Times New Roman" w:cs="Times New Roman"/>
        </w:rPr>
        <w:t>,</w:t>
      </w:r>
      <w:r>
        <w:rPr>
          <w:rFonts w:ascii="Times New Roman" w:hAnsi="Times New Roman" w:cs="Times New Roman"/>
        </w:rPr>
        <w:t xml:space="preserve"> Local Eastern Time. </w:t>
      </w:r>
      <w:r w:rsidR="007C7AFF">
        <w:rPr>
          <w:rFonts w:ascii="Times New Roman" w:hAnsi="Times New Roman" w:cs="Times New Roman"/>
        </w:rPr>
        <w:t>At NETL’s discretion, NETL may provide written responses to questions as appropriate</w:t>
      </w:r>
      <w:r w:rsidR="00653B4B">
        <w:rPr>
          <w:rFonts w:ascii="Times New Roman" w:hAnsi="Times New Roman" w:cs="Times New Roman"/>
        </w:rPr>
        <w:t>.</w:t>
      </w:r>
      <w:r w:rsidR="007C7AFF">
        <w:rPr>
          <w:rFonts w:ascii="Times New Roman" w:hAnsi="Times New Roman" w:cs="Times New Roman"/>
        </w:rPr>
        <w:t xml:space="preserve"> Any such responses will be provided to all interested parties. </w:t>
      </w:r>
    </w:p>
    <w:p w14:paraId="58569789" w14:textId="35892FF6" w:rsidR="0043339B" w:rsidRDefault="00B65282" w:rsidP="00B65282">
      <w:pPr>
        <w:rPr>
          <w:rFonts w:ascii="Times New Roman" w:hAnsi="Times New Roman" w:cs="Times New Roman"/>
        </w:rPr>
      </w:pPr>
      <w:r>
        <w:rPr>
          <w:rFonts w:ascii="Times New Roman" w:hAnsi="Times New Roman" w:cs="Times New Roman"/>
        </w:rPr>
        <w:t xml:space="preserve">NETL has initiated an electronic reading room as part of the strategy to provide information that may benefit potential Offerors in preparing their proposals for the RFP. The information is provided to assist the reader in gaining an enhanced understanding of the requirement. The reading room may be accessed at </w:t>
      </w:r>
      <w:hyperlink r:id="rId8" w:history="1">
        <w:r w:rsidRPr="00AB3726">
          <w:rPr>
            <w:rStyle w:val="Hyperlink"/>
            <w:rFonts w:ascii="Times New Roman" w:hAnsi="Times New Roman" w:cs="Times New Roman"/>
          </w:rPr>
          <w:t>http://www.netl.doe.gov/business/site-support</w:t>
        </w:r>
      </w:hyperlink>
      <w:r>
        <w:rPr>
          <w:rFonts w:ascii="Times New Roman" w:hAnsi="Times New Roman" w:cs="Times New Roman"/>
        </w:rPr>
        <w:t xml:space="preserve">.   </w:t>
      </w:r>
    </w:p>
    <w:p w14:paraId="0D005710" w14:textId="4AE7A5E7" w:rsidR="00B65282" w:rsidRDefault="00B65282" w:rsidP="00B65282">
      <w:pPr>
        <w:rPr>
          <w:rFonts w:ascii="Times New Roman" w:hAnsi="Times New Roman" w:cs="Times New Roman"/>
        </w:rPr>
      </w:pPr>
      <w:r>
        <w:rPr>
          <w:rFonts w:ascii="Times New Roman" w:hAnsi="Times New Roman" w:cs="Times New Roman"/>
        </w:rPr>
        <w:t xml:space="preserve">Interested parties should monitor </w:t>
      </w:r>
      <w:r w:rsidR="00EB368C">
        <w:rPr>
          <w:rFonts w:ascii="Times New Roman" w:hAnsi="Times New Roman" w:cs="Times New Roman"/>
        </w:rPr>
        <w:t xml:space="preserve">GSA e-buy, </w:t>
      </w:r>
      <w:proofErr w:type="spellStart"/>
      <w:r w:rsidR="001845B8">
        <w:rPr>
          <w:rFonts w:ascii="Times New Roman" w:hAnsi="Times New Roman" w:cs="Times New Roman"/>
        </w:rPr>
        <w:t>FedConnect</w:t>
      </w:r>
      <w:proofErr w:type="spellEnd"/>
      <w:r w:rsidR="0043339B">
        <w:rPr>
          <w:rFonts w:ascii="Times New Roman" w:hAnsi="Times New Roman" w:cs="Times New Roman"/>
        </w:rPr>
        <w:t xml:space="preserve"> (https://www.fedconnect.net)</w:t>
      </w:r>
      <w:r>
        <w:rPr>
          <w:rFonts w:ascii="Times New Roman" w:hAnsi="Times New Roman" w:cs="Times New Roman"/>
        </w:rPr>
        <w:t xml:space="preserve"> and/or NETL’s electronic reading room (</w:t>
      </w:r>
      <w:hyperlink r:id="rId9" w:history="1">
        <w:r w:rsidRPr="00AB3726">
          <w:rPr>
            <w:rStyle w:val="Hyperlink"/>
            <w:rFonts w:ascii="Times New Roman" w:hAnsi="Times New Roman" w:cs="Times New Roman"/>
          </w:rPr>
          <w:t>http://www.netl.doe.gov/business/site-support</w:t>
        </w:r>
      </w:hyperlink>
      <w:r>
        <w:rPr>
          <w:rFonts w:ascii="Times New Roman" w:hAnsi="Times New Roman" w:cs="Times New Roman"/>
        </w:rPr>
        <w:t xml:space="preserve">) for future announcements regarding this requirement.  </w:t>
      </w:r>
    </w:p>
    <w:p w14:paraId="6118B0B1" w14:textId="6F37C3BA" w:rsidR="00AA294C" w:rsidRPr="00AA294C" w:rsidRDefault="00AA294C" w:rsidP="00B65282">
      <w:pPr>
        <w:rPr>
          <w:rFonts w:ascii="Times New Roman" w:hAnsi="Times New Roman" w:cs="Times New Roman"/>
        </w:rPr>
      </w:pPr>
      <w:r w:rsidRPr="00AA294C">
        <w:rPr>
          <w:rFonts w:ascii="Times New Roman" w:hAnsi="Times New Roman" w:cs="Times New Roman"/>
        </w:rPr>
        <w:t xml:space="preserve">The offeror is required to be a contract holder under GSA Federal Supply Schedules and as such are expected to be familiar with the GSA e-Buy web portal for submission of offers.  Further instructions are located at </w:t>
      </w:r>
      <w:hyperlink r:id="rId10" w:history="1">
        <w:r w:rsidR="007B00BA">
          <w:rPr>
            <w:rStyle w:val="Hyperlink"/>
          </w:rPr>
          <w:t>https://www.ebuy.gsa.gov/ebuy/</w:t>
        </w:r>
      </w:hyperlink>
    </w:p>
    <w:p w14:paraId="0B3F52C4" w14:textId="77777777" w:rsidR="00BA7BE0" w:rsidRPr="0039137F" w:rsidRDefault="00BA7BE0" w:rsidP="00BA7BE0">
      <w:pPr>
        <w:autoSpaceDE w:val="0"/>
        <w:autoSpaceDN w:val="0"/>
        <w:adjustRightInd w:val="0"/>
        <w:spacing w:after="0"/>
        <w:rPr>
          <w:rFonts w:ascii="Times New Roman" w:eastAsia="Calibri" w:hAnsi="Times New Roman" w:cs="Times New Roman"/>
          <w:color w:val="000000"/>
        </w:rPr>
      </w:pPr>
      <w:r w:rsidRPr="0039137F">
        <w:rPr>
          <w:rFonts w:ascii="Times New Roman" w:eastAsia="Calibri" w:hAnsi="Times New Roman" w:cs="Times New Roman"/>
          <w:color w:val="000000"/>
        </w:rPr>
        <w:t xml:space="preserve">Information regarding how to submit information via </w:t>
      </w:r>
      <w:proofErr w:type="spellStart"/>
      <w:r w:rsidRPr="0039137F">
        <w:rPr>
          <w:rFonts w:ascii="Times New Roman" w:eastAsia="Calibri" w:hAnsi="Times New Roman" w:cs="Times New Roman"/>
          <w:color w:val="000000"/>
        </w:rPr>
        <w:t>FedConnect</w:t>
      </w:r>
      <w:proofErr w:type="spellEnd"/>
      <w:r w:rsidRPr="0039137F">
        <w:rPr>
          <w:rFonts w:ascii="Times New Roman" w:eastAsia="Calibri" w:hAnsi="Times New Roman" w:cs="Times New Roman"/>
          <w:color w:val="000000"/>
        </w:rPr>
        <w:t xml:space="preserve"> can be found at</w:t>
      </w:r>
    </w:p>
    <w:p w14:paraId="1756E23A" w14:textId="0B011E61" w:rsidR="00BA7BE0" w:rsidRPr="0039137F" w:rsidRDefault="00BA7BE0" w:rsidP="00BA7BE0">
      <w:pPr>
        <w:autoSpaceDE w:val="0"/>
        <w:autoSpaceDN w:val="0"/>
        <w:adjustRightInd w:val="0"/>
        <w:spacing w:after="0"/>
        <w:rPr>
          <w:rFonts w:ascii="Times New Roman" w:eastAsia="Calibri" w:hAnsi="Times New Roman" w:cs="Times New Roman"/>
          <w:color w:val="000000"/>
        </w:rPr>
      </w:pPr>
      <w:r w:rsidRPr="0039137F">
        <w:rPr>
          <w:rFonts w:ascii="Times New Roman" w:eastAsia="Calibri" w:hAnsi="Times New Roman" w:cs="Times New Roman"/>
          <w:color w:val="0000FF"/>
        </w:rPr>
        <w:t>https://www.fedconnect.net</w:t>
      </w:r>
      <w:r w:rsidRPr="0039137F">
        <w:rPr>
          <w:rFonts w:ascii="Times New Roman" w:eastAsia="Calibri" w:hAnsi="Times New Roman" w:cs="Times New Roman"/>
          <w:color w:val="000000"/>
        </w:rPr>
        <w:t xml:space="preserve">. </w:t>
      </w:r>
      <w:r w:rsidR="0043339B" w:rsidRPr="0039137F">
        <w:rPr>
          <w:rFonts w:ascii="Times New Roman" w:eastAsia="Calibri" w:hAnsi="Times New Roman" w:cs="Times New Roman"/>
          <w:color w:val="000000"/>
        </w:rPr>
        <w:t xml:space="preserve"> </w:t>
      </w:r>
      <w:r w:rsidRPr="0039137F">
        <w:rPr>
          <w:rFonts w:ascii="Times New Roman" w:eastAsia="Calibri" w:hAnsi="Times New Roman" w:cs="Times New Roman"/>
          <w:color w:val="000000"/>
        </w:rPr>
        <w:t xml:space="preserve">Please note - </w:t>
      </w:r>
      <w:proofErr w:type="spellStart"/>
      <w:r w:rsidRPr="0039137F">
        <w:rPr>
          <w:rFonts w:ascii="Times New Roman" w:eastAsia="Calibri" w:hAnsi="Times New Roman" w:cs="Times New Roman"/>
          <w:color w:val="000000"/>
        </w:rPr>
        <w:t>FedConnect</w:t>
      </w:r>
      <w:proofErr w:type="spellEnd"/>
      <w:r w:rsidRPr="0039137F">
        <w:rPr>
          <w:rFonts w:ascii="Times New Roman" w:eastAsia="Calibri" w:hAnsi="Times New Roman" w:cs="Times New Roman"/>
          <w:color w:val="000000"/>
        </w:rPr>
        <w:t xml:space="preserve"> is owned and operated by</w:t>
      </w:r>
      <w:r w:rsidR="008F7809">
        <w:rPr>
          <w:rFonts w:ascii="Times New Roman" w:eastAsia="Calibri" w:hAnsi="Times New Roman" w:cs="Times New Roman"/>
          <w:color w:val="000000"/>
        </w:rPr>
        <w:t xml:space="preserve">-Unison Software, Inc. </w:t>
      </w:r>
    </w:p>
    <w:p w14:paraId="7B31874F" w14:textId="1B1E05A6" w:rsidR="00BA7BE0" w:rsidRPr="0039137F" w:rsidRDefault="00BA7BE0" w:rsidP="00BA7BE0">
      <w:pPr>
        <w:autoSpaceDE w:val="0"/>
        <w:autoSpaceDN w:val="0"/>
        <w:adjustRightInd w:val="0"/>
        <w:spacing w:after="0"/>
        <w:rPr>
          <w:rFonts w:ascii="Times New Roman" w:eastAsia="Calibri" w:hAnsi="Times New Roman" w:cs="Times New Roman"/>
          <w:color w:val="000000"/>
        </w:rPr>
      </w:pPr>
      <w:r w:rsidRPr="0039137F">
        <w:rPr>
          <w:rFonts w:ascii="Times New Roman" w:eastAsia="Calibri" w:hAnsi="Times New Roman" w:cs="Times New Roman"/>
          <w:color w:val="000000"/>
        </w:rPr>
        <w:lastRenderedPageBreak/>
        <w:t xml:space="preserve">, not by the Department of Energy and DOE does not provide help </w:t>
      </w:r>
      <w:proofErr w:type="gramStart"/>
      <w:r w:rsidRPr="0039137F">
        <w:rPr>
          <w:rFonts w:ascii="Times New Roman" w:eastAsia="Calibri" w:hAnsi="Times New Roman" w:cs="Times New Roman"/>
          <w:color w:val="000000"/>
        </w:rPr>
        <w:t>desk</w:t>
      </w:r>
      <w:proofErr w:type="gramEnd"/>
    </w:p>
    <w:p w14:paraId="3620E367" w14:textId="77777777" w:rsidR="00BA7BE0" w:rsidRPr="0039137F" w:rsidRDefault="00BA7BE0" w:rsidP="00BA7BE0">
      <w:pPr>
        <w:autoSpaceDE w:val="0"/>
        <w:autoSpaceDN w:val="0"/>
        <w:adjustRightInd w:val="0"/>
        <w:spacing w:after="0"/>
        <w:rPr>
          <w:rFonts w:ascii="Times New Roman" w:eastAsia="Calibri" w:hAnsi="Times New Roman" w:cs="Times New Roman"/>
          <w:color w:val="000000"/>
        </w:rPr>
      </w:pPr>
      <w:r w:rsidRPr="0039137F">
        <w:rPr>
          <w:rFonts w:ascii="Times New Roman" w:eastAsia="Calibri" w:hAnsi="Times New Roman" w:cs="Times New Roman"/>
          <w:color w:val="000000"/>
        </w:rPr>
        <w:t xml:space="preserve">assistance for </w:t>
      </w:r>
      <w:proofErr w:type="spellStart"/>
      <w:r w:rsidRPr="0039137F">
        <w:rPr>
          <w:rFonts w:ascii="Times New Roman" w:eastAsia="Calibri" w:hAnsi="Times New Roman" w:cs="Times New Roman"/>
          <w:color w:val="000000"/>
        </w:rPr>
        <w:t>FedConnect</w:t>
      </w:r>
      <w:proofErr w:type="spellEnd"/>
      <w:r w:rsidRPr="0039137F">
        <w:rPr>
          <w:rFonts w:ascii="Times New Roman" w:eastAsia="Calibri" w:hAnsi="Times New Roman" w:cs="Times New Roman"/>
          <w:color w:val="000000"/>
        </w:rPr>
        <w:t xml:space="preserve">. For assistance with </w:t>
      </w:r>
      <w:proofErr w:type="spellStart"/>
      <w:r w:rsidRPr="0039137F">
        <w:rPr>
          <w:rFonts w:ascii="Times New Roman" w:eastAsia="Calibri" w:hAnsi="Times New Roman" w:cs="Times New Roman"/>
          <w:color w:val="000000"/>
        </w:rPr>
        <w:t>FedConnect</w:t>
      </w:r>
      <w:proofErr w:type="spellEnd"/>
      <w:r w:rsidRPr="0039137F">
        <w:rPr>
          <w:rFonts w:ascii="Times New Roman" w:eastAsia="Calibri" w:hAnsi="Times New Roman" w:cs="Times New Roman"/>
          <w:color w:val="000000"/>
        </w:rPr>
        <w:t xml:space="preserve">, please contact </w:t>
      </w:r>
      <w:proofErr w:type="spellStart"/>
      <w:r w:rsidRPr="0039137F">
        <w:rPr>
          <w:rFonts w:ascii="Times New Roman" w:eastAsia="Calibri" w:hAnsi="Times New Roman" w:cs="Times New Roman"/>
          <w:color w:val="000000"/>
        </w:rPr>
        <w:t>FedConnect</w:t>
      </w:r>
      <w:proofErr w:type="spellEnd"/>
      <w:r w:rsidRPr="0039137F">
        <w:rPr>
          <w:rFonts w:ascii="Times New Roman" w:eastAsia="Calibri" w:hAnsi="Times New Roman" w:cs="Times New Roman"/>
          <w:color w:val="000000"/>
        </w:rPr>
        <w:t xml:space="preserve"> directly:</w:t>
      </w:r>
    </w:p>
    <w:p w14:paraId="26C0AA15" w14:textId="77777777" w:rsidR="00BA7BE0" w:rsidRPr="005440EA" w:rsidRDefault="00BA7BE0" w:rsidP="00BA7BE0">
      <w:pPr>
        <w:autoSpaceDE w:val="0"/>
        <w:autoSpaceDN w:val="0"/>
        <w:adjustRightInd w:val="0"/>
        <w:spacing w:after="0"/>
        <w:rPr>
          <w:rFonts w:ascii="Times New Roman" w:eastAsia="Calibri" w:hAnsi="Times New Roman" w:cs="Times New Roman"/>
          <w:color w:val="000000"/>
          <w:sz w:val="24"/>
          <w:szCs w:val="24"/>
        </w:rPr>
      </w:pPr>
    </w:p>
    <w:p w14:paraId="48499BEE" w14:textId="77777777" w:rsidR="00BA7BE0" w:rsidRPr="0039137F" w:rsidRDefault="00BA7BE0" w:rsidP="00BA7BE0">
      <w:pPr>
        <w:autoSpaceDE w:val="0"/>
        <w:autoSpaceDN w:val="0"/>
        <w:adjustRightInd w:val="0"/>
        <w:spacing w:after="0"/>
        <w:rPr>
          <w:rFonts w:ascii="Times New Roman" w:eastAsia="Calibri" w:hAnsi="Times New Roman" w:cs="Times New Roman"/>
          <w:color w:val="000000"/>
        </w:rPr>
      </w:pPr>
      <w:r w:rsidRPr="0039137F">
        <w:rPr>
          <w:rFonts w:ascii="Times New Roman" w:eastAsia="Calibri" w:hAnsi="Times New Roman" w:cs="Times New Roman"/>
          <w:color w:val="000000"/>
        </w:rPr>
        <w:t>By e-mail: support@FedConnect.net</w:t>
      </w:r>
    </w:p>
    <w:p w14:paraId="4AEFCB0F" w14:textId="77777777" w:rsidR="00BA7BE0" w:rsidRPr="0039137F" w:rsidRDefault="00BA7BE0" w:rsidP="00BA7BE0">
      <w:pPr>
        <w:autoSpaceDE w:val="0"/>
        <w:autoSpaceDN w:val="0"/>
        <w:adjustRightInd w:val="0"/>
        <w:spacing w:after="0"/>
        <w:rPr>
          <w:rFonts w:ascii="Times New Roman" w:eastAsia="Calibri" w:hAnsi="Times New Roman" w:cs="Times New Roman"/>
          <w:color w:val="000000"/>
        </w:rPr>
      </w:pPr>
      <w:r w:rsidRPr="0039137F">
        <w:rPr>
          <w:rFonts w:ascii="Times New Roman" w:eastAsia="Calibri" w:hAnsi="Times New Roman" w:cs="Times New Roman"/>
          <w:color w:val="000000"/>
        </w:rPr>
        <w:t>By phone: 1-800-899-6665 (8:00 a.m. to 8:00 p.m., Eastern Daylight Time, except Federal</w:t>
      </w:r>
    </w:p>
    <w:p w14:paraId="6C4DD0DE" w14:textId="77777777" w:rsidR="00BA7BE0" w:rsidRPr="0039137F" w:rsidRDefault="00BA7BE0" w:rsidP="00BA7BE0">
      <w:pPr>
        <w:rPr>
          <w:rFonts w:ascii="Times New Roman" w:eastAsia="Calibri" w:hAnsi="Times New Roman" w:cs="Times New Roman"/>
        </w:rPr>
      </w:pPr>
      <w:r w:rsidRPr="0039137F">
        <w:rPr>
          <w:rFonts w:ascii="Times New Roman" w:eastAsia="Calibri" w:hAnsi="Times New Roman" w:cs="Times New Roman"/>
          <w:color w:val="000000"/>
        </w:rPr>
        <w:t>holidays).</w:t>
      </w:r>
    </w:p>
    <w:p w14:paraId="0052CD5D" w14:textId="77777777" w:rsidR="009510E0" w:rsidRPr="009510E0" w:rsidRDefault="009510E0" w:rsidP="00B65282">
      <w:pPr>
        <w:tabs>
          <w:tab w:val="left" w:pos="2246"/>
        </w:tabs>
        <w:jc w:val="center"/>
      </w:pPr>
    </w:p>
    <w:sectPr w:rsidR="009510E0" w:rsidRPr="009510E0" w:rsidSect="00B652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48A5" w14:textId="77777777" w:rsidR="00F47B08" w:rsidRDefault="00F47B08" w:rsidP="009510E0">
      <w:r>
        <w:separator/>
      </w:r>
    </w:p>
  </w:endnote>
  <w:endnote w:type="continuationSeparator" w:id="0">
    <w:p w14:paraId="3134DEB0" w14:textId="77777777" w:rsidR="00F47B08" w:rsidRDefault="00F47B08" w:rsidP="0095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72" w:type="dxa"/>
      <w:tblBorders>
        <w:insideH w:val="single" w:sz="8" w:space="0" w:color="auto"/>
      </w:tblBorders>
      <w:tblLayout w:type="fixed"/>
      <w:tblCellMar>
        <w:left w:w="36" w:type="dxa"/>
        <w:right w:w="36" w:type="dxa"/>
      </w:tblCellMar>
      <w:tblLook w:val="0000" w:firstRow="0" w:lastRow="0" w:firstColumn="0" w:lastColumn="0" w:noHBand="0" w:noVBand="0"/>
    </w:tblPr>
    <w:tblGrid>
      <w:gridCol w:w="2880"/>
      <w:gridCol w:w="720"/>
      <w:gridCol w:w="1800"/>
      <w:gridCol w:w="720"/>
      <w:gridCol w:w="1800"/>
      <w:gridCol w:w="720"/>
      <w:gridCol w:w="2160"/>
      <w:gridCol w:w="72"/>
    </w:tblGrid>
    <w:tr w:rsidR="009510E0" w14:paraId="3FB67E98" w14:textId="77777777" w:rsidTr="009510E0">
      <w:tc>
        <w:tcPr>
          <w:tcW w:w="10872" w:type="dxa"/>
          <w:gridSpan w:val="8"/>
          <w:shd w:val="clear" w:color="auto" w:fill="auto"/>
          <w:vAlign w:val="bottom"/>
        </w:tcPr>
        <w:p w14:paraId="1680A4A0" w14:textId="3D85EFB6" w:rsidR="0057015C" w:rsidRPr="009510E0" w:rsidRDefault="0057015C" w:rsidP="009510E0">
          <w:pPr>
            <w:pStyle w:val="Footer"/>
            <w:jc w:val="center"/>
            <w:rPr>
              <w:rFonts w:ascii="Arial" w:hAnsi="Arial" w:cs="Arial"/>
              <w:sz w:val="16"/>
            </w:rPr>
          </w:pPr>
        </w:p>
        <w:p w14:paraId="3462C4C7" w14:textId="77777777" w:rsidR="0057015C" w:rsidRDefault="0057015C" w:rsidP="0057015C">
          <w:pPr>
            <w:pStyle w:val="Footer"/>
            <w:tabs>
              <w:tab w:val="clear" w:pos="4680"/>
              <w:tab w:val="clear" w:pos="9360"/>
              <w:tab w:val="center" w:pos="3707"/>
              <w:tab w:val="center" w:pos="5507"/>
              <w:tab w:val="center" w:pos="7307"/>
              <w:tab w:val="right" w:pos="10795"/>
            </w:tabs>
            <w:jc w:val="center"/>
            <w:rPr>
              <w:rFonts w:ascii="Arial" w:hAnsi="Arial" w:cs="Arial"/>
              <w:sz w:val="16"/>
              <w:szCs w:val="16"/>
            </w:rPr>
          </w:pPr>
          <w:r>
            <w:rPr>
              <w:rFonts w:ascii="Arial" w:hAnsi="Arial" w:cs="Arial"/>
              <w:sz w:val="16"/>
              <w:szCs w:val="16"/>
            </w:rPr>
            <w:t>3610 Collins Ferry Road, Morgantown, WV  26505</w:t>
          </w:r>
          <w:r>
            <w:rPr>
              <w:rFonts w:ascii="Arial" w:hAnsi="Arial" w:cs="Arial"/>
              <w:sz w:val="16"/>
              <w:szCs w:val="16"/>
            </w:rPr>
            <w:tab/>
            <w:t>●</w:t>
          </w:r>
          <w:r>
            <w:rPr>
              <w:rFonts w:ascii="Arial" w:hAnsi="Arial" w:cs="Arial"/>
              <w:sz w:val="16"/>
              <w:szCs w:val="16"/>
            </w:rPr>
            <w:tab/>
            <w:t>1450 Queen Avenue SW, Albany, OR  97321</w:t>
          </w:r>
          <w:r>
            <w:rPr>
              <w:rFonts w:ascii="Arial" w:hAnsi="Arial" w:cs="Arial"/>
              <w:sz w:val="16"/>
              <w:szCs w:val="16"/>
            </w:rPr>
            <w:tab/>
            <w:t>●</w:t>
          </w:r>
          <w:r>
            <w:rPr>
              <w:rFonts w:ascii="Arial" w:hAnsi="Arial" w:cs="Arial"/>
              <w:sz w:val="16"/>
              <w:szCs w:val="16"/>
            </w:rPr>
            <w:tab/>
            <w:t xml:space="preserve">626 </w:t>
          </w:r>
          <w:proofErr w:type="spellStart"/>
          <w:r>
            <w:rPr>
              <w:rFonts w:ascii="Arial" w:hAnsi="Arial" w:cs="Arial"/>
              <w:sz w:val="16"/>
              <w:szCs w:val="16"/>
            </w:rPr>
            <w:t>Cochrans</w:t>
          </w:r>
          <w:proofErr w:type="spellEnd"/>
          <w:r>
            <w:rPr>
              <w:rFonts w:ascii="Arial" w:hAnsi="Arial" w:cs="Arial"/>
              <w:sz w:val="16"/>
              <w:szCs w:val="16"/>
            </w:rPr>
            <w:t xml:space="preserve"> Mill Road, Pittsburgh, PA  15236</w:t>
          </w:r>
        </w:p>
        <w:p w14:paraId="3A1E83E3" w14:textId="2EA54CD0" w:rsidR="009510E0" w:rsidRPr="009510E0" w:rsidRDefault="009510E0" w:rsidP="009510E0">
          <w:pPr>
            <w:pStyle w:val="Footer"/>
            <w:jc w:val="center"/>
            <w:rPr>
              <w:rFonts w:ascii="Arial" w:hAnsi="Arial" w:cs="Arial"/>
              <w:sz w:val="16"/>
            </w:rPr>
          </w:pPr>
        </w:p>
      </w:tc>
    </w:tr>
    <w:tr w:rsidR="009510E0" w14:paraId="79E48947" w14:textId="77777777" w:rsidTr="009510E0">
      <w:trPr>
        <w:gridAfter w:val="1"/>
        <w:wAfter w:w="72" w:type="dxa"/>
      </w:trPr>
      <w:tc>
        <w:tcPr>
          <w:tcW w:w="2880" w:type="dxa"/>
          <w:shd w:val="clear" w:color="auto" w:fill="auto"/>
        </w:tcPr>
        <w:p w14:paraId="572372F8" w14:textId="77777777" w:rsidR="009510E0" w:rsidRDefault="009510E0">
          <w:pPr>
            <w:pStyle w:val="Footer"/>
          </w:pPr>
        </w:p>
      </w:tc>
      <w:tc>
        <w:tcPr>
          <w:tcW w:w="720" w:type="dxa"/>
          <w:shd w:val="clear" w:color="auto" w:fill="auto"/>
        </w:tcPr>
        <w:p w14:paraId="05FE8790" w14:textId="77777777" w:rsidR="009510E0" w:rsidRDefault="009510E0">
          <w:pPr>
            <w:pStyle w:val="Footer"/>
          </w:pPr>
        </w:p>
      </w:tc>
      <w:tc>
        <w:tcPr>
          <w:tcW w:w="1800" w:type="dxa"/>
          <w:shd w:val="clear" w:color="auto" w:fill="auto"/>
        </w:tcPr>
        <w:p w14:paraId="10A34F45" w14:textId="77777777" w:rsidR="009510E0" w:rsidRDefault="009510E0">
          <w:pPr>
            <w:pStyle w:val="Footer"/>
          </w:pPr>
        </w:p>
      </w:tc>
      <w:tc>
        <w:tcPr>
          <w:tcW w:w="720" w:type="dxa"/>
          <w:shd w:val="clear" w:color="auto" w:fill="auto"/>
        </w:tcPr>
        <w:p w14:paraId="6424C722" w14:textId="77777777" w:rsidR="009510E0" w:rsidRDefault="009510E0">
          <w:pPr>
            <w:pStyle w:val="Footer"/>
          </w:pPr>
        </w:p>
      </w:tc>
      <w:tc>
        <w:tcPr>
          <w:tcW w:w="1800" w:type="dxa"/>
          <w:shd w:val="clear" w:color="auto" w:fill="auto"/>
        </w:tcPr>
        <w:p w14:paraId="71F83E9D" w14:textId="77777777" w:rsidR="009510E0" w:rsidRDefault="009510E0">
          <w:pPr>
            <w:pStyle w:val="Footer"/>
          </w:pPr>
        </w:p>
      </w:tc>
      <w:tc>
        <w:tcPr>
          <w:tcW w:w="720" w:type="dxa"/>
          <w:shd w:val="clear" w:color="auto" w:fill="auto"/>
        </w:tcPr>
        <w:p w14:paraId="5B86F004" w14:textId="77777777" w:rsidR="009510E0" w:rsidRDefault="009510E0">
          <w:pPr>
            <w:pStyle w:val="Footer"/>
          </w:pPr>
        </w:p>
      </w:tc>
      <w:tc>
        <w:tcPr>
          <w:tcW w:w="2160" w:type="dxa"/>
          <w:shd w:val="clear" w:color="auto" w:fill="auto"/>
        </w:tcPr>
        <w:p w14:paraId="62B2A158" w14:textId="77777777" w:rsidR="009510E0" w:rsidRDefault="009510E0">
          <w:pPr>
            <w:pStyle w:val="Footer"/>
          </w:pPr>
        </w:p>
      </w:tc>
    </w:tr>
  </w:tbl>
  <w:p w14:paraId="4F73609A" w14:textId="77777777" w:rsidR="009510E0" w:rsidRDefault="00951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0DE1" w14:textId="77777777" w:rsidR="00F47B08" w:rsidRDefault="00F47B08" w:rsidP="009510E0">
      <w:r>
        <w:separator/>
      </w:r>
    </w:p>
  </w:footnote>
  <w:footnote w:type="continuationSeparator" w:id="0">
    <w:p w14:paraId="5A3AD7D8" w14:textId="77777777" w:rsidR="00F47B08" w:rsidRDefault="00F47B08" w:rsidP="00951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B047" w14:textId="29AB9121" w:rsidR="009510E0" w:rsidRDefault="0057015C">
    <w:pPr>
      <w:pStyle w:val="Header"/>
    </w:pPr>
    <w:r>
      <w:rPr>
        <w:noProof/>
      </w:rPr>
      <w:drawing>
        <wp:inline distT="0" distB="0" distL="0" distR="0" wp14:anchorId="77FB61F5" wp14:editId="01E9DE42">
          <wp:extent cx="6754495" cy="437515"/>
          <wp:effectExtent l="0" t="0" r="8255" b="635"/>
          <wp:docPr id="1748420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20703" name="Picture 17484207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54495" cy="4375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DD0"/>
    <w:rsid w:val="00002F46"/>
    <w:rsid w:val="0001072D"/>
    <w:rsid w:val="000309C4"/>
    <w:rsid w:val="00034A55"/>
    <w:rsid w:val="0003703D"/>
    <w:rsid w:val="00037FAB"/>
    <w:rsid w:val="00054D0D"/>
    <w:rsid w:val="0007482D"/>
    <w:rsid w:val="00084110"/>
    <w:rsid w:val="000848A5"/>
    <w:rsid w:val="000854E4"/>
    <w:rsid w:val="000879CD"/>
    <w:rsid w:val="000A7F7C"/>
    <w:rsid w:val="000B044C"/>
    <w:rsid w:val="000D3A60"/>
    <w:rsid w:val="000D4AA0"/>
    <w:rsid w:val="00103579"/>
    <w:rsid w:val="00124ABF"/>
    <w:rsid w:val="0012784D"/>
    <w:rsid w:val="00130065"/>
    <w:rsid w:val="00132BEC"/>
    <w:rsid w:val="00147C6A"/>
    <w:rsid w:val="001845B8"/>
    <w:rsid w:val="00187DD0"/>
    <w:rsid w:val="001E106C"/>
    <w:rsid w:val="002021FA"/>
    <w:rsid w:val="0020598F"/>
    <w:rsid w:val="00221A61"/>
    <w:rsid w:val="00223736"/>
    <w:rsid w:val="00224A2F"/>
    <w:rsid w:val="002740DE"/>
    <w:rsid w:val="00283B6D"/>
    <w:rsid w:val="002A5E76"/>
    <w:rsid w:val="002D4A76"/>
    <w:rsid w:val="002E0D30"/>
    <w:rsid w:val="003005E4"/>
    <w:rsid w:val="0033577E"/>
    <w:rsid w:val="00374319"/>
    <w:rsid w:val="0039137F"/>
    <w:rsid w:val="003C73DA"/>
    <w:rsid w:val="0041663F"/>
    <w:rsid w:val="0043339B"/>
    <w:rsid w:val="00451904"/>
    <w:rsid w:val="00481ED2"/>
    <w:rsid w:val="004A0425"/>
    <w:rsid w:val="004A13E2"/>
    <w:rsid w:val="004C0B4F"/>
    <w:rsid w:val="004C7486"/>
    <w:rsid w:val="004D533D"/>
    <w:rsid w:val="004E1593"/>
    <w:rsid w:val="004F077D"/>
    <w:rsid w:val="005048A9"/>
    <w:rsid w:val="0052018C"/>
    <w:rsid w:val="00542963"/>
    <w:rsid w:val="00551B9D"/>
    <w:rsid w:val="00554370"/>
    <w:rsid w:val="0057015C"/>
    <w:rsid w:val="00571C59"/>
    <w:rsid w:val="00577964"/>
    <w:rsid w:val="0059296F"/>
    <w:rsid w:val="005B41F3"/>
    <w:rsid w:val="005B7655"/>
    <w:rsid w:val="005D1107"/>
    <w:rsid w:val="005F68D1"/>
    <w:rsid w:val="005F7085"/>
    <w:rsid w:val="006018CF"/>
    <w:rsid w:val="0065073C"/>
    <w:rsid w:val="00653B4B"/>
    <w:rsid w:val="00670CA5"/>
    <w:rsid w:val="00675446"/>
    <w:rsid w:val="006858E9"/>
    <w:rsid w:val="00687D42"/>
    <w:rsid w:val="00691A27"/>
    <w:rsid w:val="006A14B3"/>
    <w:rsid w:val="006A413E"/>
    <w:rsid w:val="006A517B"/>
    <w:rsid w:val="006A77C5"/>
    <w:rsid w:val="006B335B"/>
    <w:rsid w:val="006B5BCA"/>
    <w:rsid w:val="006C4AFC"/>
    <w:rsid w:val="006C716F"/>
    <w:rsid w:val="006E4914"/>
    <w:rsid w:val="006E5948"/>
    <w:rsid w:val="00754D62"/>
    <w:rsid w:val="007607E2"/>
    <w:rsid w:val="007716F4"/>
    <w:rsid w:val="007B00BA"/>
    <w:rsid w:val="007C7AFF"/>
    <w:rsid w:val="007E3539"/>
    <w:rsid w:val="00830462"/>
    <w:rsid w:val="00844802"/>
    <w:rsid w:val="00844C26"/>
    <w:rsid w:val="00877709"/>
    <w:rsid w:val="00884F8A"/>
    <w:rsid w:val="00896602"/>
    <w:rsid w:val="008A709B"/>
    <w:rsid w:val="008B4C42"/>
    <w:rsid w:val="008C46FB"/>
    <w:rsid w:val="008C4B02"/>
    <w:rsid w:val="008D7D6F"/>
    <w:rsid w:val="008E0D6D"/>
    <w:rsid w:val="008E1085"/>
    <w:rsid w:val="008E1C63"/>
    <w:rsid w:val="008F190E"/>
    <w:rsid w:val="008F7809"/>
    <w:rsid w:val="00906894"/>
    <w:rsid w:val="009165BC"/>
    <w:rsid w:val="00930FED"/>
    <w:rsid w:val="00946EE1"/>
    <w:rsid w:val="009510E0"/>
    <w:rsid w:val="00954096"/>
    <w:rsid w:val="00963D8A"/>
    <w:rsid w:val="009764A6"/>
    <w:rsid w:val="00981BF2"/>
    <w:rsid w:val="00983497"/>
    <w:rsid w:val="009871C0"/>
    <w:rsid w:val="00997CF6"/>
    <w:rsid w:val="009C0F68"/>
    <w:rsid w:val="009E7C74"/>
    <w:rsid w:val="009F06D1"/>
    <w:rsid w:val="00A0734B"/>
    <w:rsid w:val="00A22305"/>
    <w:rsid w:val="00A34B02"/>
    <w:rsid w:val="00A513B7"/>
    <w:rsid w:val="00A52687"/>
    <w:rsid w:val="00A9481E"/>
    <w:rsid w:val="00AA294C"/>
    <w:rsid w:val="00AA3FCF"/>
    <w:rsid w:val="00AB5F4E"/>
    <w:rsid w:val="00AC2A59"/>
    <w:rsid w:val="00AC5189"/>
    <w:rsid w:val="00AD20E0"/>
    <w:rsid w:val="00AE28D4"/>
    <w:rsid w:val="00B060EF"/>
    <w:rsid w:val="00B21C55"/>
    <w:rsid w:val="00B65282"/>
    <w:rsid w:val="00B96003"/>
    <w:rsid w:val="00BA7BE0"/>
    <w:rsid w:val="00BC5211"/>
    <w:rsid w:val="00BE69A0"/>
    <w:rsid w:val="00BF381C"/>
    <w:rsid w:val="00C152AA"/>
    <w:rsid w:val="00C46C39"/>
    <w:rsid w:val="00C62FB8"/>
    <w:rsid w:val="00C96A23"/>
    <w:rsid w:val="00C97F0B"/>
    <w:rsid w:val="00CD5923"/>
    <w:rsid w:val="00CD775B"/>
    <w:rsid w:val="00CF2E56"/>
    <w:rsid w:val="00D32930"/>
    <w:rsid w:val="00D473D7"/>
    <w:rsid w:val="00D60703"/>
    <w:rsid w:val="00D636F4"/>
    <w:rsid w:val="00D64348"/>
    <w:rsid w:val="00D7526B"/>
    <w:rsid w:val="00DA4298"/>
    <w:rsid w:val="00DB0091"/>
    <w:rsid w:val="00DB022D"/>
    <w:rsid w:val="00DB0A3A"/>
    <w:rsid w:val="00DD30FA"/>
    <w:rsid w:val="00DD77D2"/>
    <w:rsid w:val="00DE552F"/>
    <w:rsid w:val="00DF0D92"/>
    <w:rsid w:val="00DF1553"/>
    <w:rsid w:val="00DF7277"/>
    <w:rsid w:val="00E05EE5"/>
    <w:rsid w:val="00E12A78"/>
    <w:rsid w:val="00E2136F"/>
    <w:rsid w:val="00E278FB"/>
    <w:rsid w:val="00E4117D"/>
    <w:rsid w:val="00E74BB6"/>
    <w:rsid w:val="00EB368C"/>
    <w:rsid w:val="00EB45DC"/>
    <w:rsid w:val="00EB724A"/>
    <w:rsid w:val="00EE6079"/>
    <w:rsid w:val="00EF1BF7"/>
    <w:rsid w:val="00EF5882"/>
    <w:rsid w:val="00F02DE5"/>
    <w:rsid w:val="00F40647"/>
    <w:rsid w:val="00F47B08"/>
    <w:rsid w:val="00F50356"/>
    <w:rsid w:val="00F67D84"/>
    <w:rsid w:val="00F759C6"/>
    <w:rsid w:val="00F97ACF"/>
    <w:rsid w:val="00F97F51"/>
    <w:rsid w:val="00FB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14A5"/>
  <w15:chartTrackingRefBased/>
  <w15:docId w15:val="{501E29AA-D0A4-4B81-937B-53905B09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282"/>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10E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link w:val="Header"/>
    <w:rsid w:val="009510E0"/>
    <w:rPr>
      <w:sz w:val="24"/>
      <w:szCs w:val="24"/>
    </w:rPr>
  </w:style>
  <w:style w:type="paragraph" w:styleId="Footer">
    <w:name w:val="footer"/>
    <w:basedOn w:val="Normal"/>
    <w:link w:val="FooterChar"/>
    <w:rsid w:val="009510E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link w:val="Footer"/>
    <w:rsid w:val="009510E0"/>
    <w:rPr>
      <w:sz w:val="24"/>
      <w:szCs w:val="24"/>
    </w:rPr>
  </w:style>
  <w:style w:type="character" w:styleId="Hyperlink">
    <w:name w:val="Hyperlink"/>
    <w:rsid w:val="009510E0"/>
    <w:rPr>
      <w:color w:val="0563C1"/>
      <w:u w:val="single"/>
    </w:rPr>
  </w:style>
  <w:style w:type="paragraph" w:styleId="BalloonText">
    <w:name w:val="Balloon Text"/>
    <w:basedOn w:val="Normal"/>
    <w:link w:val="BalloonTextChar"/>
    <w:rsid w:val="00F02DE5"/>
    <w:pPr>
      <w:spacing w:after="0" w:line="240" w:lineRule="auto"/>
    </w:pPr>
    <w:rPr>
      <w:rFonts w:ascii="Segoe UI" w:eastAsia="Times New Roman" w:hAnsi="Segoe UI" w:cs="Segoe UI"/>
      <w:sz w:val="18"/>
      <w:szCs w:val="18"/>
    </w:rPr>
  </w:style>
  <w:style w:type="character" w:customStyle="1" w:styleId="BalloonTextChar">
    <w:name w:val="Balloon Text Char"/>
    <w:link w:val="BalloonText"/>
    <w:rsid w:val="00F02DE5"/>
    <w:rPr>
      <w:rFonts w:ascii="Segoe UI" w:hAnsi="Segoe UI" w:cs="Segoe UI"/>
      <w:sz w:val="18"/>
      <w:szCs w:val="18"/>
    </w:rPr>
  </w:style>
  <w:style w:type="character" w:styleId="FollowedHyperlink">
    <w:name w:val="FollowedHyperlink"/>
    <w:basedOn w:val="DefaultParagraphFont"/>
    <w:rsid w:val="001845B8"/>
    <w:rPr>
      <w:color w:val="954F72" w:themeColor="followedHyperlink"/>
      <w:u w:val="single"/>
    </w:rPr>
  </w:style>
  <w:style w:type="character" w:styleId="CommentReference">
    <w:name w:val="annotation reference"/>
    <w:basedOn w:val="DefaultParagraphFont"/>
    <w:rsid w:val="00BA7BE0"/>
    <w:rPr>
      <w:sz w:val="16"/>
      <w:szCs w:val="16"/>
    </w:rPr>
  </w:style>
  <w:style w:type="paragraph" w:styleId="CommentText">
    <w:name w:val="annotation text"/>
    <w:basedOn w:val="Normal"/>
    <w:link w:val="CommentTextChar"/>
    <w:rsid w:val="00BA7BE0"/>
    <w:pPr>
      <w:spacing w:line="240" w:lineRule="auto"/>
    </w:pPr>
    <w:rPr>
      <w:sz w:val="20"/>
      <w:szCs w:val="20"/>
    </w:rPr>
  </w:style>
  <w:style w:type="character" w:customStyle="1" w:styleId="CommentTextChar">
    <w:name w:val="Comment Text Char"/>
    <w:basedOn w:val="DefaultParagraphFont"/>
    <w:link w:val="CommentText"/>
    <w:rsid w:val="00BA7BE0"/>
    <w:rPr>
      <w:rFonts w:asciiTheme="minorHAnsi" w:eastAsiaTheme="minorHAnsi" w:hAnsiTheme="minorHAnsi" w:cstheme="minorBidi"/>
    </w:rPr>
  </w:style>
  <w:style w:type="paragraph" w:styleId="CommentSubject">
    <w:name w:val="annotation subject"/>
    <w:basedOn w:val="CommentText"/>
    <w:next w:val="CommentText"/>
    <w:link w:val="CommentSubjectChar"/>
    <w:rsid w:val="00BA7BE0"/>
    <w:rPr>
      <w:b/>
      <w:bCs/>
    </w:rPr>
  </w:style>
  <w:style w:type="character" w:customStyle="1" w:styleId="CommentSubjectChar">
    <w:name w:val="Comment Subject Char"/>
    <w:basedOn w:val="CommentTextChar"/>
    <w:link w:val="CommentSubject"/>
    <w:rsid w:val="00BA7BE0"/>
    <w:rPr>
      <w:rFonts w:asciiTheme="minorHAnsi" w:eastAsiaTheme="minorHAnsi" w:hAnsiTheme="minorHAnsi" w:cstheme="minorBidi"/>
      <w:b/>
      <w:bCs/>
    </w:rPr>
  </w:style>
  <w:style w:type="paragraph" w:styleId="Revision">
    <w:name w:val="Revision"/>
    <w:hidden/>
    <w:uiPriority w:val="99"/>
    <w:semiHidden/>
    <w:rsid w:val="008F780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l.doe.gov/business/site-support"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ebuy.gsa.gov/ebuy/" TargetMode="External"/><Relationship Id="rId4" Type="http://schemas.openxmlformats.org/officeDocument/2006/relationships/footnotes" Target="footnotes.xml"/><Relationship Id="rId9" Type="http://schemas.openxmlformats.org/officeDocument/2006/relationships/hyperlink" Target="http://www.netl.doe.gov/business/site-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Dept. of Energy, NETL</Company>
  <LinksUpToDate>false</LinksUpToDate>
  <CharactersWithSpaces>3751</CharactersWithSpaces>
  <SharedDoc>false</SharedDoc>
  <HLinks>
    <vt:vector size="12" baseType="variant">
      <vt:variant>
        <vt:i4>8061012</vt:i4>
      </vt:variant>
      <vt:variant>
        <vt:i4>3</vt:i4>
      </vt:variant>
      <vt:variant>
        <vt:i4>0</vt:i4>
      </vt:variant>
      <vt:variant>
        <vt:i4>5</vt:i4>
      </vt:variant>
      <vt:variant>
        <vt:lpwstr>mailto:Amanda.Lopez@netl.doe.gov</vt:lpwstr>
      </vt:variant>
      <vt:variant>
        <vt:lpwstr/>
      </vt:variant>
      <vt:variant>
        <vt:i4>4784236</vt:i4>
      </vt:variant>
      <vt:variant>
        <vt:i4>0</vt:i4>
      </vt:variant>
      <vt:variant>
        <vt:i4>0</vt:i4>
      </vt:variant>
      <vt:variant>
        <vt:i4>5</vt:i4>
      </vt:variant>
      <vt:variant>
        <vt:lpwstr>mailto:gck@tusaar.com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Raelynn N Honkus</dc:creator>
  <cp:keywords/>
  <dc:description/>
  <cp:lastModifiedBy>Gibson, Mathew A.</cp:lastModifiedBy>
  <cp:revision>2</cp:revision>
  <cp:lastPrinted>2016-09-06T15:01:00Z</cp:lastPrinted>
  <dcterms:created xsi:type="dcterms:W3CDTF">2024-12-05T17:48:00Z</dcterms:created>
  <dcterms:modified xsi:type="dcterms:W3CDTF">2024-12-05T17:48:00Z</dcterms:modified>
</cp:coreProperties>
</file>