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10E0" w:rsidRDefault="009510E0">
      <w:pPr>
        <w:sectPr w:rsidR="009510E0" w:rsidSect="009510E0">
          <w:headerReference w:type="first" r:id="rId6"/>
          <w:footerReference w:type="first" r:id="rId7"/>
          <w:pgSz w:w="12240" w:h="15840"/>
          <w:pgMar w:top="720" w:right="720" w:bottom="576" w:left="864" w:header="720" w:footer="288" w:gutter="0"/>
          <w:cols w:space="720"/>
          <w:titlePg/>
          <w:docGrid w:linePitch="360"/>
        </w:sectPr>
      </w:pPr>
    </w:p>
    <w:p w:rsidR="00B65282" w:rsidRDefault="00B65282" w:rsidP="00B65282">
      <w:pPr>
        <w:rPr>
          <w:rFonts w:ascii="Times New Roman" w:hAnsi="Times New Roman" w:cs="Times New Roman"/>
        </w:rPr>
      </w:pPr>
      <w:r>
        <w:rPr>
          <w:rFonts w:ascii="Times New Roman" w:hAnsi="Times New Roman" w:cs="Times New Roman"/>
        </w:rPr>
        <w:t>This notice provides the Request for Proposal (RFP) No. DE-SOL-001</w:t>
      </w:r>
      <w:r w:rsidR="00A513B7">
        <w:rPr>
          <w:rFonts w:ascii="Times New Roman" w:hAnsi="Times New Roman" w:cs="Times New Roman"/>
        </w:rPr>
        <w:t>0957</w:t>
      </w:r>
      <w:r>
        <w:rPr>
          <w:rFonts w:ascii="Times New Roman" w:hAnsi="Times New Roman" w:cs="Times New Roman"/>
        </w:rPr>
        <w:t xml:space="preserve">.  </w:t>
      </w:r>
      <w:r w:rsidR="00E85B67">
        <w:rPr>
          <w:rFonts w:ascii="Times New Roman" w:hAnsi="Times New Roman" w:cs="Times New Roman"/>
        </w:rPr>
        <w:t xml:space="preserve">Please note that the final RFP is identified as Amendment 001 </w:t>
      </w:r>
      <w:r w:rsidR="00AD4265">
        <w:rPr>
          <w:rFonts w:ascii="Times New Roman" w:hAnsi="Times New Roman" w:cs="Times New Roman"/>
        </w:rPr>
        <w:t xml:space="preserve">and the first amendment to the final RFP is identified as Amendment 002 </w:t>
      </w:r>
      <w:r w:rsidR="00E85B67">
        <w:rPr>
          <w:rFonts w:ascii="Times New Roman" w:hAnsi="Times New Roman" w:cs="Times New Roman"/>
        </w:rPr>
        <w:t>in-order-to retain solicitation number integrity.</w:t>
      </w:r>
      <w:r w:rsidR="00AD4265">
        <w:rPr>
          <w:rFonts w:ascii="Times New Roman" w:hAnsi="Times New Roman" w:cs="Times New Roman"/>
        </w:rPr>
        <w:t xml:space="preserve"> Changes associated with this amendment (Amendment 002) are delineated in </w:t>
      </w:r>
      <w:r w:rsidR="00AD4265" w:rsidRPr="00AD4265">
        <w:rPr>
          <w:rFonts w:ascii="Times New Roman" w:hAnsi="Times New Roman" w:cs="Times New Roman"/>
          <w:highlight w:val="yellow"/>
        </w:rPr>
        <w:t>yellow highlighted text</w:t>
      </w:r>
      <w:r w:rsidR="00AD4265">
        <w:rPr>
          <w:rFonts w:ascii="Times New Roman" w:hAnsi="Times New Roman" w:cs="Times New Roman"/>
        </w:rPr>
        <w:t xml:space="preserve"> throughout the RFP. </w:t>
      </w:r>
      <w:r w:rsidR="00E85B67">
        <w:rPr>
          <w:rFonts w:ascii="Times New Roman" w:hAnsi="Times New Roman" w:cs="Times New Roman"/>
        </w:rPr>
        <w:t xml:space="preserve">   </w:t>
      </w:r>
    </w:p>
    <w:p w:rsidR="00B65282" w:rsidRDefault="00B65282" w:rsidP="00B65282">
      <w:pPr>
        <w:rPr>
          <w:rFonts w:ascii="Times New Roman" w:hAnsi="Times New Roman" w:cs="Times New Roman"/>
        </w:rPr>
      </w:pPr>
      <w:r>
        <w:rPr>
          <w:rFonts w:ascii="Times New Roman" w:hAnsi="Times New Roman" w:cs="Times New Roman"/>
        </w:rPr>
        <w:t xml:space="preserve">The U.S. Department of Energy (DOE), National Energy Technology Laboratory (NETL), </w:t>
      </w:r>
      <w:r w:rsidR="005405BB">
        <w:rPr>
          <w:rFonts w:ascii="Times New Roman" w:hAnsi="Times New Roman" w:cs="Times New Roman"/>
        </w:rPr>
        <w:t>is issuing</w:t>
      </w:r>
      <w:r>
        <w:rPr>
          <w:rFonts w:ascii="Times New Roman" w:hAnsi="Times New Roman" w:cs="Times New Roman"/>
        </w:rPr>
        <w:t xml:space="preserve"> competitive RFP DE-SOL-0010</w:t>
      </w:r>
      <w:r w:rsidR="00A513B7">
        <w:rPr>
          <w:rFonts w:ascii="Times New Roman" w:hAnsi="Times New Roman" w:cs="Times New Roman"/>
        </w:rPr>
        <w:t>957</w:t>
      </w:r>
      <w:r>
        <w:rPr>
          <w:rFonts w:ascii="Times New Roman" w:hAnsi="Times New Roman" w:cs="Times New Roman"/>
        </w:rPr>
        <w:t xml:space="preserve"> as a 100% small business set-a</w:t>
      </w:r>
      <w:bookmarkStart w:id="0" w:name="_GoBack"/>
      <w:bookmarkEnd w:id="0"/>
      <w:r>
        <w:rPr>
          <w:rFonts w:ascii="Times New Roman" w:hAnsi="Times New Roman" w:cs="Times New Roman"/>
        </w:rPr>
        <w:t xml:space="preserve">side for </w:t>
      </w:r>
      <w:r w:rsidR="00A513B7">
        <w:rPr>
          <w:rFonts w:ascii="Times New Roman" w:hAnsi="Times New Roman" w:cs="Times New Roman"/>
        </w:rPr>
        <w:t xml:space="preserve">Corporate Human Resource Information System (CHRIS) Operation and Maintenance Support </w:t>
      </w:r>
      <w:r>
        <w:rPr>
          <w:rFonts w:ascii="Times New Roman" w:hAnsi="Times New Roman" w:cs="Times New Roman"/>
        </w:rPr>
        <w:t xml:space="preserve">Services.  This RFP </w:t>
      </w:r>
      <w:r w:rsidR="005405BB">
        <w:rPr>
          <w:rFonts w:ascii="Times New Roman" w:hAnsi="Times New Roman" w:cs="Times New Roman"/>
        </w:rPr>
        <w:t>has</w:t>
      </w:r>
      <w:r>
        <w:rPr>
          <w:rFonts w:ascii="Times New Roman" w:hAnsi="Times New Roman" w:cs="Times New Roman"/>
        </w:rPr>
        <w:t xml:space="preserve"> a combination of firm-fixed-price and cost-plus-fixed-fee Contract Line Item Numbers (CLINs).  Each CLIN </w:t>
      </w:r>
      <w:r w:rsidR="005405BB">
        <w:rPr>
          <w:rFonts w:ascii="Times New Roman" w:hAnsi="Times New Roman" w:cs="Times New Roman"/>
        </w:rPr>
        <w:t>is</w:t>
      </w:r>
      <w:r>
        <w:rPr>
          <w:rFonts w:ascii="Times New Roman" w:hAnsi="Times New Roman" w:cs="Times New Roman"/>
        </w:rPr>
        <w:t xml:space="preserve"> clearly identified as to whether it is firm-fixed-price or cost-reimbursement.  Clauses and provisions that are specific to only certain type CLINs will be identified as such.  Clauses and provisions that are not identified as being only applicable to a certain type CLIN are applicable to all CLINs</w:t>
      </w:r>
      <w:r w:rsidRPr="00997CF6">
        <w:rPr>
          <w:rFonts w:ascii="Times New Roman" w:hAnsi="Times New Roman" w:cs="Times New Roman"/>
        </w:rPr>
        <w:t xml:space="preserve">.  This service contract will require support activities to be performed across all </w:t>
      </w:r>
      <w:r w:rsidR="00997CF6" w:rsidRPr="00997CF6">
        <w:rPr>
          <w:rFonts w:ascii="Times New Roman" w:hAnsi="Times New Roman" w:cs="Times New Roman"/>
        </w:rPr>
        <w:t xml:space="preserve">DOE </w:t>
      </w:r>
      <w:r w:rsidRPr="00997CF6">
        <w:rPr>
          <w:rFonts w:ascii="Times New Roman" w:hAnsi="Times New Roman" w:cs="Times New Roman"/>
        </w:rPr>
        <w:t xml:space="preserve">sites with primary on-site presence in Morgantown, WV and include limited travel to other </w:t>
      </w:r>
      <w:r w:rsidR="00997CF6" w:rsidRPr="00997CF6">
        <w:rPr>
          <w:rFonts w:ascii="Times New Roman" w:hAnsi="Times New Roman" w:cs="Times New Roman"/>
        </w:rPr>
        <w:t>DOE</w:t>
      </w:r>
      <w:r w:rsidRPr="00997CF6">
        <w:rPr>
          <w:rFonts w:ascii="Times New Roman" w:hAnsi="Times New Roman" w:cs="Times New Roman"/>
        </w:rPr>
        <w:t xml:space="preserve"> locations.</w:t>
      </w:r>
      <w:r>
        <w:rPr>
          <w:rFonts w:ascii="Times New Roman" w:hAnsi="Times New Roman" w:cs="Times New Roman"/>
        </w:rPr>
        <w:t xml:space="preserve">  The resulting contract will include a base performance period of three-years.  </w:t>
      </w:r>
      <w:r w:rsidRPr="00997CF6">
        <w:rPr>
          <w:rFonts w:ascii="Times New Roman" w:hAnsi="Times New Roman" w:cs="Times New Roman"/>
        </w:rPr>
        <w:t>This</w:t>
      </w:r>
      <w:r w:rsidR="00997CF6" w:rsidRPr="00997CF6">
        <w:rPr>
          <w:rFonts w:ascii="Times New Roman" w:hAnsi="Times New Roman" w:cs="Times New Roman"/>
        </w:rPr>
        <w:t xml:space="preserve"> effort was previously a small portion of contract </w:t>
      </w:r>
      <w:r w:rsidRPr="00997CF6">
        <w:rPr>
          <w:rFonts w:ascii="Times New Roman" w:hAnsi="Times New Roman" w:cs="Times New Roman"/>
        </w:rPr>
        <w:t>DE-DT0004246, which currently has an expiration date of July 27, 2017.</w:t>
      </w:r>
      <w:r>
        <w:rPr>
          <w:rFonts w:ascii="Times New Roman" w:hAnsi="Times New Roman" w:cs="Times New Roman"/>
        </w:rPr>
        <w:t xml:space="preserve">  It is anticipated that the award date for the resulting contract will be prior to the expiration of the current contract.</w:t>
      </w:r>
    </w:p>
    <w:p w:rsidR="00B65282" w:rsidRDefault="00B65282" w:rsidP="00B65282">
      <w:pPr>
        <w:rPr>
          <w:rFonts w:ascii="Times New Roman" w:hAnsi="Times New Roman" w:cs="Times New Roman"/>
        </w:rPr>
      </w:pPr>
      <w:r>
        <w:rPr>
          <w:rFonts w:ascii="Times New Roman" w:hAnsi="Times New Roman" w:cs="Times New Roman"/>
        </w:rPr>
        <w:t>This requirement is competed through the NIH NITAAC CIO-SP3 SB Government-Wide Acquisition Contract (GWAC).  The North American Industrial Classification System (NAICS</w:t>
      </w:r>
      <w:r w:rsidR="000A0B3E">
        <w:rPr>
          <w:rFonts w:ascii="Times New Roman" w:hAnsi="Times New Roman" w:cs="Times New Roman"/>
        </w:rPr>
        <w:t>) code for this effort is 541512</w:t>
      </w:r>
      <w:r>
        <w:rPr>
          <w:rFonts w:ascii="Times New Roman" w:hAnsi="Times New Roman" w:cs="Times New Roman"/>
        </w:rPr>
        <w:t xml:space="preserve"> with a small business size standard of $27.5 million.  All responsible small business sources currently holding a contract through the CIO-SP3 SB GWAC vehicle are eligible to submit a proposal.   </w:t>
      </w:r>
    </w:p>
    <w:p w:rsidR="00B65282" w:rsidRDefault="00B65282" w:rsidP="00B65282">
      <w:pPr>
        <w:rPr>
          <w:rFonts w:ascii="Times New Roman" w:hAnsi="Times New Roman" w:cs="Times New Roman"/>
        </w:rPr>
      </w:pPr>
      <w:r>
        <w:rPr>
          <w:rFonts w:ascii="Times New Roman" w:hAnsi="Times New Roman" w:cs="Times New Roman"/>
        </w:rPr>
        <w:t xml:space="preserve">NETL has initiated an electronic reading room as part of the strategy to provide information that may benefit potential Offerors in preparing their proposals for the RFP.  The information is provided to assist the reader in gaining an enhanced understanding of the requirement.  The reading room may be accessed at </w:t>
      </w:r>
      <w:hyperlink r:id="rId8" w:history="1">
        <w:r w:rsidRPr="00AB3726">
          <w:rPr>
            <w:rStyle w:val="Hyperlink"/>
            <w:rFonts w:ascii="Times New Roman" w:hAnsi="Times New Roman" w:cs="Times New Roman"/>
          </w:rPr>
          <w:t>http://www.netl.doe.gov/business/site-support</w:t>
        </w:r>
      </w:hyperlink>
      <w:r>
        <w:rPr>
          <w:rFonts w:ascii="Times New Roman" w:hAnsi="Times New Roman" w:cs="Times New Roman"/>
        </w:rPr>
        <w:t>.   Freedom of Information Act (FOIA) released versions of the current NETL support contracts are also posted in the electronic reading room.  Offerors requesting a FOIA version of a current contract will be directed to the reading room to download it from that location.  Interested parties should monitor the e-GOS system and/or NETL’s electronic reading room (</w:t>
      </w:r>
      <w:hyperlink r:id="rId9" w:history="1">
        <w:r w:rsidRPr="00AB3726">
          <w:rPr>
            <w:rStyle w:val="Hyperlink"/>
            <w:rFonts w:ascii="Times New Roman" w:hAnsi="Times New Roman" w:cs="Times New Roman"/>
          </w:rPr>
          <w:t>http://www.netl.doe.gov/business/site-support</w:t>
        </w:r>
      </w:hyperlink>
      <w:r>
        <w:rPr>
          <w:rFonts w:ascii="Times New Roman" w:hAnsi="Times New Roman" w:cs="Times New Roman"/>
        </w:rPr>
        <w:t xml:space="preserve">) for future announcements regarding this requirement.  </w:t>
      </w:r>
    </w:p>
    <w:p w:rsidR="009510E0" w:rsidRPr="009510E0" w:rsidRDefault="009510E0" w:rsidP="00B65282">
      <w:pPr>
        <w:tabs>
          <w:tab w:val="left" w:pos="2246"/>
        </w:tabs>
        <w:jc w:val="center"/>
      </w:pPr>
    </w:p>
    <w:sectPr w:rsidR="009510E0" w:rsidRPr="009510E0" w:rsidSect="00B6528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13E2" w:rsidRDefault="004A13E2" w:rsidP="009510E0">
      <w:r>
        <w:separator/>
      </w:r>
    </w:p>
  </w:endnote>
  <w:endnote w:type="continuationSeparator" w:id="0">
    <w:p w:rsidR="004A13E2" w:rsidRDefault="004A13E2" w:rsidP="00951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72" w:type="dxa"/>
      <w:tblBorders>
        <w:insideH w:val="single" w:sz="8" w:space="0" w:color="auto"/>
      </w:tblBorders>
      <w:tblLayout w:type="fixed"/>
      <w:tblCellMar>
        <w:left w:w="36" w:type="dxa"/>
        <w:right w:w="36" w:type="dxa"/>
      </w:tblCellMar>
      <w:tblLook w:val="0000" w:firstRow="0" w:lastRow="0" w:firstColumn="0" w:lastColumn="0" w:noHBand="0" w:noVBand="0"/>
    </w:tblPr>
    <w:tblGrid>
      <w:gridCol w:w="2880"/>
      <w:gridCol w:w="720"/>
      <w:gridCol w:w="1800"/>
      <w:gridCol w:w="720"/>
      <w:gridCol w:w="1800"/>
      <w:gridCol w:w="720"/>
      <w:gridCol w:w="2160"/>
      <w:gridCol w:w="72"/>
    </w:tblGrid>
    <w:tr w:rsidR="009510E0" w:rsidTr="009510E0">
      <w:tc>
        <w:tcPr>
          <w:tcW w:w="10872" w:type="dxa"/>
          <w:gridSpan w:val="8"/>
          <w:shd w:val="clear" w:color="auto" w:fill="auto"/>
          <w:vAlign w:val="bottom"/>
        </w:tcPr>
        <w:p w:rsidR="009510E0" w:rsidRPr="009510E0" w:rsidRDefault="006A77C5" w:rsidP="009510E0">
          <w:pPr>
            <w:pStyle w:val="Footer"/>
            <w:jc w:val="center"/>
            <w:rPr>
              <w:rFonts w:ascii="Arial" w:hAnsi="Arial" w:cs="Arial"/>
              <w:sz w:val="16"/>
            </w:rPr>
          </w:pPr>
          <w:r>
            <w:rPr>
              <w:rFonts w:ascii="Arial" w:hAnsi="Arial" w:cs="Arial"/>
              <w:sz w:val="16"/>
            </w:rPr>
            <w:t>3610 Collins Ferry Road</w:t>
          </w:r>
          <w:r w:rsidR="009510E0" w:rsidRPr="009510E0">
            <w:rPr>
              <w:rFonts w:ascii="Arial" w:hAnsi="Arial" w:cs="Arial"/>
              <w:sz w:val="16"/>
            </w:rPr>
            <w:t xml:space="preserve">, P.O. Box </w:t>
          </w:r>
          <w:r>
            <w:rPr>
              <w:rFonts w:ascii="Arial" w:hAnsi="Arial" w:cs="Arial"/>
              <w:sz w:val="16"/>
            </w:rPr>
            <w:t>880</w:t>
          </w:r>
          <w:r w:rsidR="009510E0" w:rsidRPr="009510E0">
            <w:rPr>
              <w:rFonts w:ascii="Arial" w:hAnsi="Arial" w:cs="Arial"/>
              <w:sz w:val="16"/>
            </w:rPr>
            <w:t xml:space="preserve">, </w:t>
          </w:r>
          <w:r>
            <w:rPr>
              <w:rFonts w:ascii="Arial" w:hAnsi="Arial" w:cs="Arial"/>
              <w:sz w:val="16"/>
            </w:rPr>
            <w:t>Morgantown</w:t>
          </w:r>
          <w:r w:rsidR="009510E0" w:rsidRPr="009510E0">
            <w:rPr>
              <w:rFonts w:ascii="Arial" w:hAnsi="Arial" w:cs="Arial"/>
              <w:sz w:val="16"/>
            </w:rPr>
            <w:t xml:space="preserve">, </w:t>
          </w:r>
          <w:r>
            <w:rPr>
              <w:rFonts w:ascii="Arial" w:hAnsi="Arial" w:cs="Arial"/>
              <w:sz w:val="16"/>
            </w:rPr>
            <w:t>WV</w:t>
          </w:r>
          <w:r w:rsidR="009510E0" w:rsidRPr="009510E0">
            <w:rPr>
              <w:rFonts w:ascii="Arial" w:hAnsi="Arial" w:cs="Arial"/>
              <w:sz w:val="16"/>
            </w:rPr>
            <w:t xml:space="preserve">  </w:t>
          </w:r>
          <w:r>
            <w:rPr>
              <w:rFonts w:ascii="Arial" w:hAnsi="Arial" w:cs="Arial"/>
              <w:sz w:val="16"/>
            </w:rPr>
            <w:t>26507</w:t>
          </w:r>
        </w:p>
      </w:tc>
    </w:tr>
    <w:tr w:rsidR="009510E0" w:rsidTr="009510E0">
      <w:trPr>
        <w:gridAfter w:val="1"/>
        <w:wAfter w:w="72" w:type="dxa"/>
      </w:trPr>
      <w:tc>
        <w:tcPr>
          <w:tcW w:w="2880" w:type="dxa"/>
          <w:shd w:val="clear" w:color="auto" w:fill="auto"/>
        </w:tcPr>
        <w:p w:rsidR="009510E0" w:rsidRDefault="009510E0">
          <w:pPr>
            <w:pStyle w:val="Footer"/>
          </w:pPr>
        </w:p>
      </w:tc>
      <w:tc>
        <w:tcPr>
          <w:tcW w:w="720" w:type="dxa"/>
          <w:shd w:val="clear" w:color="auto" w:fill="auto"/>
        </w:tcPr>
        <w:p w:rsidR="009510E0" w:rsidRDefault="009510E0">
          <w:pPr>
            <w:pStyle w:val="Footer"/>
          </w:pPr>
        </w:p>
      </w:tc>
      <w:tc>
        <w:tcPr>
          <w:tcW w:w="1800" w:type="dxa"/>
          <w:shd w:val="clear" w:color="auto" w:fill="auto"/>
        </w:tcPr>
        <w:p w:rsidR="009510E0" w:rsidRDefault="009510E0">
          <w:pPr>
            <w:pStyle w:val="Footer"/>
          </w:pPr>
        </w:p>
      </w:tc>
      <w:tc>
        <w:tcPr>
          <w:tcW w:w="720" w:type="dxa"/>
          <w:shd w:val="clear" w:color="auto" w:fill="auto"/>
        </w:tcPr>
        <w:p w:rsidR="009510E0" w:rsidRDefault="009510E0">
          <w:pPr>
            <w:pStyle w:val="Footer"/>
          </w:pPr>
        </w:p>
      </w:tc>
      <w:tc>
        <w:tcPr>
          <w:tcW w:w="1800" w:type="dxa"/>
          <w:shd w:val="clear" w:color="auto" w:fill="auto"/>
        </w:tcPr>
        <w:p w:rsidR="009510E0" w:rsidRDefault="009510E0">
          <w:pPr>
            <w:pStyle w:val="Footer"/>
          </w:pPr>
        </w:p>
      </w:tc>
      <w:tc>
        <w:tcPr>
          <w:tcW w:w="720" w:type="dxa"/>
          <w:shd w:val="clear" w:color="auto" w:fill="auto"/>
        </w:tcPr>
        <w:p w:rsidR="009510E0" w:rsidRDefault="009510E0">
          <w:pPr>
            <w:pStyle w:val="Footer"/>
          </w:pPr>
        </w:p>
      </w:tc>
      <w:tc>
        <w:tcPr>
          <w:tcW w:w="2160" w:type="dxa"/>
          <w:shd w:val="clear" w:color="auto" w:fill="auto"/>
        </w:tcPr>
        <w:p w:rsidR="009510E0" w:rsidRDefault="009510E0">
          <w:pPr>
            <w:pStyle w:val="Footer"/>
          </w:pPr>
        </w:p>
      </w:tc>
    </w:tr>
  </w:tbl>
  <w:p w:rsidR="009510E0" w:rsidRDefault="009510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13E2" w:rsidRDefault="004A13E2" w:rsidP="009510E0">
      <w:r>
        <w:separator/>
      </w:r>
    </w:p>
  </w:footnote>
  <w:footnote w:type="continuationSeparator" w:id="0">
    <w:p w:rsidR="004A13E2" w:rsidRDefault="004A13E2" w:rsidP="009510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0E0" w:rsidRDefault="0007482D">
    <w:pPr>
      <w:pStyle w:val="Header"/>
    </w:pPr>
    <w:r>
      <w:rPr>
        <w:noProof/>
      </w:rPr>
      <w:drawing>
        <wp:inline distT="0" distB="0" distL="0" distR="0">
          <wp:extent cx="6861810" cy="397510"/>
          <wp:effectExtent l="0" t="0" r="0" b="0"/>
          <wp:docPr id="1" name="Picture 1" descr="NETL Letterhead 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L Letterhead S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1810" cy="39751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DD0"/>
    <w:rsid w:val="00002F46"/>
    <w:rsid w:val="0001072D"/>
    <w:rsid w:val="000309C4"/>
    <w:rsid w:val="00034A55"/>
    <w:rsid w:val="0003703D"/>
    <w:rsid w:val="00037FAB"/>
    <w:rsid w:val="00054D0D"/>
    <w:rsid w:val="0007482D"/>
    <w:rsid w:val="00084110"/>
    <w:rsid w:val="000848A5"/>
    <w:rsid w:val="000854E4"/>
    <w:rsid w:val="000A0B3E"/>
    <w:rsid w:val="000B044C"/>
    <w:rsid w:val="000D3A60"/>
    <w:rsid w:val="000D4AA0"/>
    <w:rsid w:val="00103579"/>
    <w:rsid w:val="00124ABF"/>
    <w:rsid w:val="0012784D"/>
    <w:rsid w:val="00130065"/>
    <w:rsid w:val="00132BEC"/>
    <w:rsid w:val="00147C6A"/>
    <w:rsid w:val="00187DD0"/>
    <w:rsid w:val="001E106C"/>
    <w:rsid w:val="002021FA"/>
    <w:rsid w:val="0020598F"/>
    <w:rsid w:val="00221A61"/>
    <w:rsid w:val="00223736"/>
    <w:rsid w:val="00224A2F"/>
    <w:rsid w:val="002740DE"/>
    <w:rsid w:val="00283B6D"/>
    <w:rsid w:val="002A5E76"/>
    <w:rsid w:val="002D4A76"/>
    <w:rsid w:val="002E0D30"/>
    <w:rsid w:val="003005E4"/>
    <w:rsid w:val="0033577E"/>
    <w:rsid w:val="00374319"/>
    <w:rsid w:val="003C73DA"/>
    <w:rsid w:val="0041663F"/>
    <w:rsid w:val="00451904"/>
    <w:rsid w:val="00481ED2"/>
    <w:rsid w:val="004A0425"/>
    <w:rsid w:val="004A13E2"/>
    <w:rsid w:val="004C0B4F"/>
    <w:rsid w:val="004D533D"/>
    <w:rsid w:val="004E1593"/>
    <w:rsid w:val="004F077D"/>
    <w:rsid w:val="005048A9"/>
    <w:rsid w:val="0052018C"/>
    <w:rsid w:val="005405BB"/>
    <w:rsid w:val="00542963"/>
    <w:rsid w:val="00551B9D"/>
    <w:rsid w:val="00554370"/>
    <w:rsid w:val="00571C59"/>
    <w:rsid w:val="00577964"/>
    <w:rsid w:val="005B41F3"/>
    <w:rsid w:val="005B7655"/>
    <w:rsid w:val="005D1107"/>
    <w:rsid w:val="005D1262"/>
    <w:rsid w:val="005F68D1"/>
    <w:rsid w:val="005F7085"/>
    <w:rsid w:val="006018CF"/>
    <w:rsid w:val="0065073C"/>
    <w:rsid w:val="00670CA5"/>
    <w:rsid w:val="00675446"/>
    <w:rsid w:val="006858E9"/>
    <w:rsid w:val="00687D42"/>
    <w:rsid w:val="00691A27"/>
    <w:rsid w:val="006A14B3"/>
    <w:rsid w:val="006A413E"/>
    <w:rsid w:val="006A517B"/>
    <w:rsid w:val="006A77C5"/>
    <w:rsid w:val="006B335B"/>
    <w:rsid w:val="006B5BCA"/>
    <w:rsid w:val="006C4AFC"/>
    <w:rsid w:val="006C716F"/>
    <w:rsid w:val="006E5948"/>
    <w:rsid w:val="00754D62"/>
    <w:rsid w:val="007607E2"/>
    <w:rsid w:val="007716F4"/>
    <w:rsid w:val="007E3539"/>
    <w:rsid w:val="00830462"/>
    <w:rsid w:val="00844802"/>
    <w:rsid w:val="00844C26"/>
    <w:rsid w:val="00877709"/>
    <w:rsid w:val="00884F8A"/>
    <w:rsid w:val="00896602"/>
    <w:rsid w:val="008A709B"/>
    <w:rsid w:val="008B4C42"/>
    <w:rsid w:val="008C46FB"/>
    <w:rsid w:val="008C4B02"/>
    <w:rsid w:val="008D7D6F"/>
    <w:rsid w:val="008E0D6D"/>
    <w:rsid w:val="008E1085"/>
    <w:rsid w:val="008E1C63"/>
    <w:rsid w:val="008F190E"/>
    <w:rsid w:val="00906894"/>
    <w:rsid w:val="00930FED"/>
    <w:rsid w:val="00946EE1"/>
    <w:rsid w:val="009510E0"/>
    <w:rsid w:val="00954096"/>
    <w:rsid w:val="009764A6"/>
    <w:rsid w:val="00981BF2"/>
    <w:rsid w:val="00983497"/>
    <w:rsid w:val="00997CF6"/>
    <w:rsid w:val="009C0F68"/>
    <w:rsid w:val="009E7C74"/>
    <w:rsid w:val="009F06D1"/>
    <w:rsid w:val="00A0734B"/>
    <w:rsid w:val="00A22305"/>
    <w:rsid w:val="00A34B02"/>
    <w:rsid w:val="00A513B7"/>
    <w:rsid w:val="00A52687"/>
    <w:rsid w:val="00A9481E"/>
    <w:rsid w:val="00AC2A59"/>
    <w:rsid w:val="00AC5189"/>
    <w:rsid w:val="00AD20E0"/>
    <w:rsid w:val="00AD4265"/>
    <w:rsid w:val="00AE28D4"/>
    <w:rsid w:val="00B060EF"/>
    <w:rsid w:val="00B21C55"/>
    <w:rsid w:val="00B65282"/>
    <w:rsid w:val="00B96003"/>
    <w:rsid w:val="00BC5211"/>
    <w:rsid w:val="00BE69A0"/>
    <w:rsid w:val="00BF381C"/>
    <w:rsid w:val="00C152AA"/>
    <w:rsid w:val="00C46C39"/>
    <w:rsid w:val="00C62FB8"/>
    <w:rsid w:val="00C96A23"/>
    <w:rsid w:val="00C97F0B"/>
    <w:rsid w:val="00CD5923"/>
    <w:rsid w:val="00CD775B"/>
    <w:rsid w:val="00CF2E56"/>
    <w:rsid w:val="00D32930"/>
    <w:rsid w:val="00D473D7"/>
    <w:rsid w:val="00D60703"/>
    <w:rsid w:val="00D636F4"/>
    <w:rsid w:val="00D64348"/>
    <w:rsid w:val="00D7526B"/>
    <w:rsid w:val="00DA4298"/>
    <w:rsid w:val="00DB0091"/>
    <w:rsid w:val="00DB022D"/>
    <w:rsid w:val="00DB0A3A"/>
    <w:rsid w:val="00DD77D2"/>
    <w:rsid w:val="00DE552F"/>
    <w:rsid w:val="00DF0D92"/>
    <w:rsid w:val="00DF1553"/>
    <w:rsid w:val="00E05EE5"/>
    <w:rsid w:val="00E12A78"/>
    <w:rsid w:val="00E2136F"/>
    <w:rsid w:val="00E278FB"/>
    <w:rsid w:val="00E4117D"/>
    <w:rsid w:val="00E74BB6"/>
    <w:rsid w:val="00E85B67"/>
    <w:rsid w:val="00EB45DC"/>
    <w:rsid w:val="00EF1BF7"/>
    <w:rsid w:val="00EF5882"/>
    <w:rsid w:val="00F02DE5"/>
    <w:rsid w:val="00F40647"/>
    <w:rsid w:val="00F50356"/>
    <w:rsid w:val="00F67D84"/>
    <w:rsid w:val="00F759C6"/>
    <w:rsid w:val="00F97ACF"/>
    <w:rsid w:val="00F97F51"/>
    <w:rsid w:val="00FB36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C9496F"/>
  <w15:chartTrackingRefBased/>
  <w15:docId w15:val="{501E29AA-D0A4-4B81-937B-53905B099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65282"/>
    <w:pPr>
      <w:spacing w:after="200" w:line="276"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510E0"/>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link w:val="Header"/>
    <w:rsid w:val="009510E0"/>
    <w:rPr>
      <w:sz w:val="24"/>
      <w:szCs w:val="24"/>
    </w:rPr>
  </w:style>
  <w:style w:type="paragraph" w:styleId="Footer">
    <w:name w:val="footer"/>
    <w:basedOn w:val="Normal"/>
    <w:link w:val="FooterChar"/>
    <w:rsid w:val="009510E0"/>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link w:val="Footer"/>
    <w:rsid w:val="009510E0"/>
    <w:rPr>
      <w:sz w:val="24"/>
      <w:szCs w:val="24"/>
    </w:rPr>
  </w:style>
  <w:style w:type="character" w:styleId="Hyperlink">
    <w:name w:val="Hyperlink"/>
    <w:rsid w:val="009510E0"/>
    <w:rPr>
      <w:color w:val="0563C1"/>
      <w:u w:val="single"/>
    </w:rPr>
  </w:style>
  <w:style w:type="paragraph" w:styleId="BalloonText">
    <w:name w:val="Balloon Text"/>
    <w:basedOn w:val="Normal"/>
    <w:link w:val="BalloonTextChar"/>
    <w:rsid w:val="00F02DE5"/>
    <w:pPr>
      <w:spacing w:after="0" w:line="240" w:lineRule="auto"/>
    </w:pPr>
    <w:rPr>
      <w:rFonts w:ascii="Segoe UI" w:eastAsia="Times New Roman" w:hAnsi="Segoe UI" w:cs="Segoe UI"/>
      <w:sz w:val="18"/>
      <w:szCs w:val="18"/>
    </w:rPr>
  </w:style>
  <w:style w:type="character" w:customStyle="1" w:styleId="BalloonTextChar">
    <w:name w:val="Balloon Text Char"/>
    <w:link w:val="BalloonText"/>
    <w:rsid w:val="00F02DE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etl.doe.gov/business/site-support" TargetMode="Externa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netl.doe.gov/business/site-sup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admin.netl.doe.gov\data\apps\desktop\Template\NETL%20Templates\NETLLt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NETLLtr.dot</Template>
  <TotalTime>10</TotalTime>
  <Pages>1</Pages>
  <Words>404</Words>
  <Characters>2525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U.S. Dept. of Energy, NETL</Company>
  <LinksUpToDate>false</LinksUpToDate>
  <CharactersWithSpaces>2924</CharactersWithSpaces>
  <SharedDoc>false</SharedDoc>
  <HLinks>
    <vt:vector size="12" baseType="variant">
      <vt:variant>
        <vt:i4>8061012</vt:i4>
      </vt:variant>
      <vt:variant>
        <vt:i4>3</vt:i4>
      </vt:variant>
      <vt:variant>
        <vt:i4>0</vt:i4>
      </vt:variant>
      <vt:variant>
        <vt:i4>5</vt:i4>
      </vt:variant>
      <vt:variant>
        <vt:lpwstr>mailto:Amanda.Lopez@netl.doe.gov</vt:lpwstr>
      </vt:variant>
      <vt:variant>
        <vt:lpwstr/>
      </vt:variant>
      <vt:variant>
        <vt:i4>4784236</vt:i4>
      </vt:variant>
      <vt:variant>
        <vt:i4>0</vt:i4>
      </vt:variant>
      <vt:variant>
        <vt:i4>0</vt:i4>
      </vt:variant>
      <vt:variant>
        <vt:i4>5</vt:i4>
      </vt:variant>
      <vt:variant>
        <vt:lpwstr>mailto:gck@tusaar.com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Raelynn N Honkus</dc:creator>
  <cp:keywords/>
  <dc:description/>
  <cp:lastModifiedBy>Lopez, Amanda J.</cp:lastModifiedBy>
  <cp:revision>10</cp:revision>
  <cp:lastPrinted>2016-09-06T15:01:00Z</cp:lastPrinted>
  <dcterms:created xsi:type="dcterms:W3CDTF">2017-02-13T19:56:00Z</dcterms:created>
  <dcterms:modified xsi:type="dcterms:W3CDTF">2017-05-31T14:13:00Z</dcterms:modified>
</cp:coreProperties>
</file>