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3B5C" w14:textId="3009097A" w:rsidR="00076620" w:rsidRPr="00E841A6" w:rsidRDefault="00263680" w:rsidP="00E841A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i/>
          <w:smallCaps/>
          <w:sz w:val="24"/>
          <w:szCs w:val="24"/>
          <w:u w:val="single"/>
        </w:rPr>
      </w:pPr>
      <w:r w:rsidRPr="00E841A6">
        <w:rPr>
          <w:rFonts w:ascii="Calibri" w:eastAsia="Times New Roman" w:hAnsi="Calibri" w:cs="Times New Roman"/>
          <w:b/>
          <w:i/>
          <w:smallCaps/>
          <w:sz w:val="24"/>
          <w:szCs w:val="24"/>
          <w:u w:val="single"/>
        </w:rPr>
        <w:t>O</w:t>
      </w:r>
      <w:r w:rsidR="00E841A6">
        <w:rPr>
          <w:rFonts w:ascii="Calibri" w:eastAsia="Times New Roman" w:hAnsi="Calibri" w:cs="Times New Roman"/>
          <w:b/>
          <w:i/>
          <w:smallCaps/>
          <w:sz w:val="24"/>
          <w:szCs w:val="24"/>
          <w:u w:val="single"/>
        </w:rPr>
        <w:t xml:space="preserve">pen </w:t>
      </w:r>
      <w:r w:rsidRPr="00E841A6">
        <w:rPr>
          <w:rFonts w:ascii="Calibri" w:eastAsia="Times New Roman" w:hAnsi="Calibri" w:cs="Times New Roman"/>
          <w:b/>
          <w:i/>
          <w:smallCaps/>
          <w:sz w:val="24"/>
          <w:szCs w:val="24"/>
          <w:u w:val="single"/>
        </w:rPr>
        <w:t>C</w:t>
      </w:r>
      <w:r w:rsidR="00E841A6">
        <w:rPr>
          <w:rFonts w:ascii="Calibri" w:eastAsia="Times New Roman" w:hAnsi="Calibri" w:cs="Times New Roman"/>
          <w:b/>
          <w:i/>
          <w:smallCaps/>
          <w:sz w:val="24"/>
          <w:szCs w:val="24"/>
          <w:u w:val="single"/>
        </w:rPr>
        <w:t>ommitment Detail Report (December 2023)</w:t>
      </w:r>
    </w:p>
    <w:p w14:paraId="20E429F1" w14:textId="2C8CE3B7" w:rsidR="00BA26B3" w:rsidRDefault="00BA26B3">
      <w:pPr>
        <w:rPr>
          <w:rFonts w:ascii="Times New Roman" w:hAnsi="Times New Roman" w:cs="Times New Roman"/>
          <w:b/>
          <w:sz w:val="20"/>
          <w:szCs w:val="20"/>
        </w:rPr>
      </w:pPr>
    </w:p>
    <w:p w14:paraId="3408BB73" w14:textId="77777777" w:rsidR="00E841A6" w:rsidRPr="00BA26B3" w:rsidRDefault="00E841A6">
      <w:pPr>
        <w:rPr>
          <w:rFonts w:ascii="Times New Roman" w:hAnsi="Times New Roman" w:cs="Times New Roman"/>
          <w:b/>
          <w:sz w:val="20"/>
          <w:szCs w:val="20"/>
        </w:rPr>
      </w:pPr>
    </w:p>
    <w:p w14:paraId="6C29BD38" w14:textId="34CDC4E4" w:rsidR="00BA26B3" w:rsidRPr="00E841A6" w:rsidRDefault="00E841A6" w:rsidP="000B1403">
      <w:pPr>
        <w:jc w:val="both"/>
        <w:rPr>
          <w:rFonts w:cstheme="minorHAnsi"/>
          <w:b/>
          <w:i/>
          <w:smallCaps/>
        </w:rPr>
      </w:pPr>
      <w:r w:rsidRPr="00E841A6">
        <w:rPr>
          <w:rFonts w:cstheme="minorHAnsi"/>
          <w:b/>
          <w:i/>
          <w:smallCaps/>
        </w:rPr>
        <w:t>Purpose</w:t>
      </w:r>
    </w:p>
    <w:p w14:paraId="184CEFCD" w14:textId="77777777" w:rsidR="00BA26B3" w:rsidRPr="00E841A6" w:rsidRDefault="00BA26B3" w:rsidP="000B1403">
      <w:pPr>
        <w:jc w:val="both"/>
        <w:rPr>
          <w:rFonts w:cstheme="minorHAnsi"/>
          <w:b/>
          <w:i/>
          <w:sz w:val="18"/>
          <w:szCs w:val="18"/>
        </w:rPr>
      </w:pPr>
    </w:p>
    <w:p w14:paraId="5A985906" w14:textId="1A3D804C" w:rsidR="00BA26B3" w:rsidRPr="00E841A6" w:rsidRDefault="0094679B" w:rsidP="000B1403">
      <w:pPr>
        <w:pStyle w:val="BodyText"/>
        <w:ind w:right="376"/>
        <w:jc w:val="both"/>
        <w:rPr>
          <w:rFonts w:asciiTheme="minorHAnsi" w:hAnsiTheme="minorHAnsi" w:cstheme="minorHAnsi"/>
          <w:color w:val="231F20"/>
          <w:sz w:val="22"/>
          <w:szCs w:val="22"/>
        </w:rPr>
      </w:pPr>
      <w:r w:rsidRPr="00E841A6">
        <w:rPr>
          <w:rFonts w:asciiTheme="minorHAnsi" w:hAnsiTheme="minorHAnsi" w:cstheme="minorHAnsi"/>
          <w:color w:val="231F20"/>
          <w:sz w:val="22"/>
          <w:szCs w:val="22"/>
        </w:rPr>
        <w:t xml:space="preserve">The Open Commitment (OC) detail report aims to provide NETL with data on the elements that comprise the open commitment </w:t>
      </w:r>
      <w:proofErr w:type="gramStart"/>
      <w:r w:rsidR="00E841A6" w:rsidRPr="00E841A6">
        <w:rPr>
          <w:rFonts w:asciiTheme="minorHAnsi" w:hAnsiTheme="minorHAnsi" w:cstheme="minorHAnsi"/>
          <w:color w:val="231F20"/>
          <w:sz w:val="22"/>
          <w:szCs w:val="22"/>
        </w:rPr>
        <w:t>total</w:t>
      </w:r>
      <w:proofErr w:type="gramEnd"/>
      <w:r w:rsidRPr="00E841A6">
        <w:rPr>
          <w:rFonts w:asciiTheme="minorHAnsi" w:hAnsiTheme="minorHAnsi" w:cstheme="minorHAnsi"/>
          <w:color w:val="231F20"/>
          <w:sz w:val="22"/>
          <w:szCs w:val="22"/>
        </w:rPr>
        <w:t xml:space="preserve"> and the values associated with each component.  NETL uses this information for two primary purposes: 1) to track the flow of costs from open commitments to invoices and 2) to identify the open commitments to support the calculation of performance period costs defined in the PEMP</w:t>
      </w:r>
      <w:r w:rsidR="00263680" w:rsidRPr="00E841A6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14:paraId="219C14F2" w14:textId="77777777" w:rsidR="00BA26B3" w:rsidRPr="00E841A6" w:rsidRDefault="00BA26B3" w:rsidP="000B1403">
      <w:pPr>
        <w:pStyle w:val="BodyText"/>
        <w:ind w:right="376"/>
        <w:jc w:val="both"/>
        <w:rPr>
          <w:rFonts w:asciiTheme="minorHAnsi" w:hAnsiTheme="minorHAnsi" w:cstheme="minorHAnsi"/>
          <w:color w:val="231F20"/>
          <w:sz w:val="18"/>
          <w:szCs w:val="18"/>
        </w:rPr>
      </w:pPr>
    </w:p>
    <w:p w14:paraId="7BDC529D" w14:textId="21D1B024" w:rsidR="00BA26B3" w:rsidRPr="00E841A6" w:rsidRDefault="00E841A6" w:rsidP="000B1403">
      <w:pPr>
        <w:pStyle w:val="BodyText"/>
        <w:ind w:right="376"/>
        <w:jc w:val="both"/>
        <w:rPr>
          <w:rFonts w:asciiTheme="minorHAnsi" w:hAnsiTheme="minorHAnsi" w:cstheme="minorHAnsi"/>
          <w:b/>
          <w:i/>
          <w:smallCaps/>
          <w:sz w:val="22"/>
          <w:szCs w:val="22"/>
        </w:rPr>
      </w:pPr>
      <w:r w:rsidRPr="00E841A6">
        <w:rPr>
          <w:rFonts w:asciiTheme="minorHAnsi" w:hAnsiTheme="minorHAnsi" w:cstheme="minorHAnsi"/>
          <w:b/>
          <w:i/>
          <w:smallCaps/>
          <w:color w:val="231F20"/>
          <w:sz w:val="22"/>
          <w:szCs w:val="22"/>
        </w:rPr>
        <w:t>Instructions</w:t>
      </w:r>
    </w:p>
    <w:p w14:paraId="4E5A54E9" w14:textId="77777777" w:rsidR="00BA26B3" w:rsidRPr="00E841A6" w:rsidRDefault="00BA26B3" w:rsidP="000B1403">
      <w:pPr>
        <w:spacing w:before="5"/>
        <w:jc w:val="both"/>
        <w:rPr>
          <w:rFonts w:eastAsia="Times New Roman" w:cstheme="minorHAnsi"/>
          <w:b/>
          <w:bCs/>
          <w:sz w:val="18"/>
          <w:szCs w:val="18"/>
        </w:rPr>
      </w:pPr>
    </w:p>
    <w:p w14:paraId="7A783C7E" w14:textId="77777777" w:rsidR="00BA26B3" w:rsidRPr="00E841A6" w:rsidRDefault="0094679B" w:rsidP="000B1403">
      <w:pPr>
        <w:pStyle w:val="BodyText"/>
        <w:ind w:right="376"/>
        <w:jc w:val="both"/>
        <w:rPr>
          <w:rFonts w:asciiTheme="minorHAnsi" w:hAnsiTheme="minorHAnsi" w:cstheme="minorHAnsi"/>
          <w:sz w:val="22"/>
          <w:szCs w:val="22"/>
        </w:rPr>
      </w:pPr>
      <w:r w:rsidRPr="00E841A6">
        <w:rPr>
          <w:rFonts w:asciiTheme="minorHAnsi" w:hAnsiTheme="minorHAnsi" w:cstheme="minorHAnsi"/>
          <w:color w:val="231F20"/>
          <w:sz w:val="22"/>
          <w:szCs w:val="22"/>
        </w:rPr>
        <w:t>The OC detail report will be submitted in a spreadsheet format that supports applying column filters to the data.  Dollar values must be formatted consistently with a “$” and two decimal places.  The report will be submitted monthly, concurrent with the CMR and Invoice Detail report</w:t>
      </w:r>
      <w:r w:rsidR="00263680" w:rsidRPr="00E841A6">
        <w:rPr>
          <w:rFonts w:asciiTheme="minorHAnsi" w:hAnsiTheme="minorHAnsi" w:cstheme="minorHAnsi"/>
          <w:color w:val="231F20"/>
          <w:spacing w:val="-1"/>
          <w:sz w:val="22"/>
          <w:szCs w:val="22"/>
        </w:rPr>
        <w:t>.</w:t>
      </w:r>
    </w:p>
    <w:p w14:paraId="71B5A368" w14:textId="77777777" w:rsidR="00BA26B3" w:rsidRPr="007C02EC" w:rsidRDefault="00BA26B3">
      <w:pPr>
        <w:rPr>
          <w:rFonts w:cs="Times New Roman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6219"/>
      </w:tblGrid>
      <w:tr w:rsidR="00745C26" w:rsidRPr="00E841A6" w14:paraId="273A788C" w14:textId="77777777" w:rsidTr="00E841A6">
        <w:tc>
          <w:tcPr>
            <w:tcW w:w="2956" w:type="dxa"/>
          </w:tcPr>
          <w:p w14:paraId="604AD3E0" w14:textId="77777777" w:rsidR="00BA26B3" w:rsidRPr="00E841A6" w:rsidRDefault="00263680">
            <w:pPr>
              <w:rPr>
                <w:rFonts w:cstheme="minorHAnsi"/>
                <w:b/>
                <w:u w:val="single"/>
              </w:rPr>
            </w:pPr>
            <w:r w:rsidRPr="00E841A6">
              <w:rPr>
                <w:rFonts w:cstheme="minorHAnsi"/>
                <w:b/>
                <w:u w:val="single"/>
              </w:rPr>
              <w:t>Item</w:t>
            </w:r>
          </w:p>
        </w:tc>
        <w:tc>
          <w:tcPr>
            <w:tcW w:w="6219" w:type="dxa"/>
          </w:tcPr>
          <w:p w14:paraId="1A3DB947" w14:textId="77777777" w:rsidR="00BA26B3" w:rsidRDefault="00263680">
            <w:pPr>
              <w:rPr>
                <w:rFonts w:cstheme="minorHAnsi"/>
                <w:b/>
                <w:u w:val="single"/>
              </w:rPr>
            </w:pPr>
            <w:r w:rsidRPr="00E841A6">
              <w:rPr>
                <w:rFonts w:cstheme="minorHAnsi"/>
                <w:b/>
                <w:u w:val="single"/>
              </w:rPr>
              <w:t>Description</w:t>
            </w:r>
          </w:p>
          <w:p w14:paraId="31AF2566" w14:textId="36F2C35E" w:rsidR="00E841A6" w:rsidRPr="00E841A6" w:rsidRDefault="00E841A6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</w:tr>
      <w:tr w:rsidR="00745C26" w:rsidRPr="00E841A6" w14:paraId="240E8708" w14:textId="77777777" w:rsidTr="00E841A6">
        <w:tc>
          <w:tcPr>
            <w:tcW w:w="2956" w:type="dxa"/>
          </w:tcPr>
          <w:p w14:paraId="7878C294" w14:textId="77777777" w:rsidR="00BA26B3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CLIN/SubCLIN/Task/Activity</w:t>
            </w:r>
          </w:p>
        </w:tc>
        <w:tc>
          <w:tcPr>
            <w:tcW w:w="6219" w:type="dxa"/>
          </w:tcPr>
          <w:p w14:paraId="5F479C34" w14:textId="77777777" w:rsidR="00BA26B3" w:rsidRDefault="00263680" w:rsidP="002B7233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Whole item number (CLIN/Sub-CLIN/Task/Subtask number)</w:t>
            </w:r>
            <w:r w:rsidR="006C1C8A" w:rsidRPr="00E841A6">
              <w:rPr>
                <w:rFonts w:cstheme="minorHAnsi"/>
              </w:rPr>
              <w:t>.</w:t>
            </w:r>
          </w:p>
          <w:p w14:paraId="2C751E0C" w14:textId="62A7ED4D" w:rsidR="00E841A6" w:rsidRPr="00E841A6" w:rsidRDefault="00E841A6" w:rsidP="002B723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5C26" w:rsidRPr="00E841A6" w14:paraId="16CF019C" w14:textId="77777777" w:rsidTr="00E841A6">
        <w:tc>
          <w:tcPr>
            <w:tcW w:w="2956" w:type="dxa"/>
          </w:tcPr>
          <w:p w14:paraId="28ECBD25" w14:textId="77777777" w:rsidR="00BA26B3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 xml:space="preserve">Award Fee (Prior </w:t>
            </w:r>
            <w:r w:rsidR="00C6571A" w:rsidRPr="00E841A6">
              <w:rPr>
                <w:rFonts w:cstheme="minorHAnsi"/>
              </w:rPr>
              <w:t>Period</w:t>
            </w:r>
            <w:r w:rsidRPr="00E841A6">
              <w:rPr>
                <w:rFonts w:cstheme="minorHAnsi"/>
              </w:rPr>
              <w:t>)</w:t>
            </w:r>
          </w:p>
        </w:tc>
        <w:tc>
          <w:tcPr>
            <w:tcW w:w="6219" w:type="dxa"/>
          </w:tcPr>
          <w:p w14:paraId="393AEDAF" w14:textId="77777777" w:rsidR="00BA26B3" w:rsidRDefault="0094679B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Enter the estimated amount of the Award Fee carried over the previous performance period that has not been invoiced to the Government</w:t>
            </w:r>
            <w:r w:rsidR="00263680" w:rsidRPr="00E841A6">
              <w:rPr>
                <w:rFonts w:cstheme="minorHAnsi"/>
              </w:rPr>
              <w:t>.</w:t>
            </w:r>
          </w:p>
          <w:p w14:paraId="1D210524" w14:textId="2BA6CE09" w:rsidR="00E841A6" w:rsidRPr="00E841A6" w:rsidRDefault="00E841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5C26" w:rsidRPr="00E841A6" w14:paraId="579628B1" w14:textId="77777777" w:rsidTr="00E841A6">
        <w:tc>
          <w:tcPr>
            <w:tcW w:w="2956" w:type="dxa"/>
          </w:tcPr>
          <w:p w14:paraId="17A72B14" w14:textId="77777777" w:rsidR="004E3926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Award Fee (Current Period)</w:t>
            </w:r>
          </w:p>
        </w:tc>
        <w:tc>
          <w:tcPr>
            <w:tcW w:w="6219" w:type="dxa"/>
          </w:tcPr>
          <w:p w14:paraId="0A20FBE1" w14:textId="77777777" w:rsidR="004E3926" w:rsidRDefault="0094679B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Enter the estimated amount of the Award Fee earned in the current performance period</w:t>
            </w:r>
            <w:r w:rsidR="00263680" w:rsidRPr="00E841A6">
              <w:rPr>
                <w:rFonts w:cstheme="minorHAnsi"/>
              </w:rPr>
              <w:t>.</w:t>
            </w:r>
          </w:p>
          <w:p w14:paraId="032C5A70" w14:textId="24BD382E" w:rsidR="00E841A6" w:rsidRPr="00E841A6" w:rsidRDefault="00E841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5C26" w:rsidRPr="00E841A6" w14:paraId="0CCC053A" w14:textId="77777777" w:rsidTr="00E841A6">
        <w:tc>
          <w:tcPr>
            <w:tcW w:w="2956" w:type="dxa"/>
          </w:tcPr>
          <w:p w14:paraId="3356777C" w14:textId="77777777" w:rsidR="00C6571A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Rate Adjustment Reserve</w:t>
            </w:r>
          </w:p>
        </w:tc>
        <w:tc>
          <w:tcPr>
            <w:tcW w:w="6219" w:type="dxa"/>
          </w:tcPr>
          <w:p w14:paraId="71BD1981" w14:textId="77777777" w:rsidR="00C6571A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Rate adjustment reserve, if required</w:t>
            </w:r>
            <w:r w:rsidR="006C1C8A" w:rsidRPr="00E841A6">
              <w:rPr>
                <w:rFonts w:cstheme="minorHAnsi"/>
              </w:rPr>
              <w:t xml:space="preserve">.  </w:t>
            </w:r>
          </w:p>
          <w:p w14:paraId="1732A40B" w14:textId="2E6B9EF0" w:rsidR="00E841A6" w:rsidRPr="00E841A6" w:rsidRDefault="00E841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5C26" w:rsidRPr="00E841A6" w14:paraId="513E7A06" w14:textId="77777777" w:rsidTr="00E841A6">
        <w:tc>
          <w:tcPr>
            <w:tcW w:w="2956" w:type="dxa"/>
          </w:tcPr>
          <w:p w14:paraId="18278D75" w14:textId="77777777" w:rsidR="00E05968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Labor</w:t>
            </w:r>
          </w:p>
        </w:tc>
        <w:tc>
          <w:tcPr>
            <w:tcW w:w="6219" w:type="dxa"/>
          </w:tcPr>
          <w:p w14:paraId="406A835E" w14:textId="57ABE623" w:rsidR="00E05968" w:rsidRPr="00E841A6" w:rsidRDefault="00263680" w:rsidP="007C02EC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</w:pPr>
            <w:r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Enter any direct labor costs earned but not yet invoiced to the Government.</w:t>
            </w:r>
          </w:p>
        </w:tc>
      </w:tr>
      <w:tr w:rsidR="00745C26" w:rsidRPr="00E841A6" w14:paraId="29D05377" w14:textId="77777777" w:rsidTr="00E841A6">
        <w:tc>
          <w:tcPr>
            <w:tcW w:w="2956" w:type="dxa"/>
          </w:tcPr>
          <w:p w14:paraId="64DC1FF4" w14:textId="77777777" w:rsidR="00E05968" w:rsidRPr="00E841A6" w:rsidRDefault="00E05968">
            <w:pPr>
              <w:rPr>
                <w:rFonts w:cstheme="minorHAnsi"/>
              </w:rPr>
            </w:pPr>
          </w:p>
        </w:tc>
        <w:tc>
          <w:tcPr>
            <w:tcW w:w="6219" w:type="dxa"/>
          </w:tcPr>
          <w:p w14:paraId="6BC2C36E" w14:textId="77777777" w:rsidR="00E05968" w:rsidRPr="00E841A6" w:rsidRDefault="00E05968" w:rsidP="007C02EC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</w:pPr>
          </w:p>
        </w:tc>
      </w:tr>
      <w:tr w:rsidR="00745C26" w:rsidRPr="00E841A6" w14:paraId="674D561F" w14:textId="77777777" w:rsidTr="00E841A6">
        <w:tc>
          <w:tcPr>
            <w:tcW w:w="2956" w:type="dxa"/>
          </w:tcPr>
          <w:p w14:paraId="381EC37D" w14:textId="77777777" w:rsidR="00C6571A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Subcontracts in OCs</w:t>
            </w:r>
          </w:p>
        </w:tc>
        <w:tc>
          <w:tcPr>
            <w:tcW w:w="6219" w:type="dxa"/>
          </w:tcPr>
          <w:p w14:paraId="0F3E6249" w14:textId="77777777" w:rsidR="00C6571A" w:rsidRPr="00E841A6" w:rsidRDefault="0094679B" w:rsidP="007C02EC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Subcontract costs being held in open commitments.  These costs should include any indirect rates applied (including those applied by the prime contractor)</w:t>
            </w:r>
            <w:r w:rsidR="00050A5A"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.</w:t>
            </w:r>
          </w:p>
        </w:tc>
      </w:tr>
      <w:tr w:rsidR="00745C26" w:rsidRPr="00E841A6" w14:paraId="66488ADF" w14:textId="77777777" w:rsidTr="00E841A6">
        <w:tc>
          <w:tcPr>
            <w:tcW w:w="2956" w:type="dxa"/>
          </w:tcPr>
          <w:p w14:paraId="1CEDC7AB" w14:textId="77777777" w:rsidR="00C6571A" w:rsidRPr="00E841A6" w:rsidRDefault="00C65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19" w:type="dxa"/>
          </w:tcPr>
          <w:p w14:paraId="6911ADE1" w14:textId="77777777" w:rsidR="00C6571A" w:rsidRPr="00E841A6" w:rsidRDefault="00C6571A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</w:p>
        </w:tc>
      </w:tr>
      <w:tr w:rsidR="00745C26" w:rsidRPr="00E841A6" w14:paraId="3E51F7E2" w14:textId="77777777" w:rsidTr="00E841A6">
        <w:tc>
          <w:tcPr>
            <w:tcW w:w="2956" w:type="dxa"/>
          </w:tcPr>
          <w:p w14:paraId="080469B4" w14:textId="77777777" w:rsidR="00E05968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University</w:t>
            </w:r>
          </w:p>
        </w:tc>
        <w:tc>
          <w:tcPr>
            <w:tcW w:w="6219" w:type="dxa"/>
          </w:tcPr>
          <w:p w14:paraId="2C57C5F4" w14:textId="77777777" w:rsidR="00E05968" w:rsidRPr="00E841A6" w:rsidRDefault="0094679B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</w:pPr>
            <w:r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If applicable, enter any cost incurred by a university that has yet to be invoiced to the Government</w:t>
            </w:r>
            <w:r w:rsidR="00263680"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.</w:t>
            </w:r>
          </w:p>
        </w:tc>
      </w:tr>
      <w:tr w:rsidR="00745C26" w:rsidRPr="00E841A6" w14:paraId="06513346" w14:textId="77777777" w:rsidTr="00E841A6">
        <w:tc>
          <w:tcPr>
            <w:tcW w:w="2956" w:type="dxa"/>
          </w:tcPr>
          <w:p w14:paraId="699F7590" w14:textId="77777777" w:rsidR="00E05968" w:rsidRPr="00E841A6" w:rsidRDefault="00E059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19" w:type="dxa"/>
          </w:tcPr>
          <w:p w14:paraId="256DF4B3" w14:textId="77777777" w:rsidR="00E05968" w:rsidRPr="00E841A6" w:rsidRDefault="00E05968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</w:p>
        </w:tc>
      </w:tr>
      <w:tr w:rsidR="00745C26" w:rsidRPr="00E841A6" w14:paraId="752B7FFE" w14:textId="77777777" w:rsidTr="00E841A6">
        <w:tc>
          <w:tcPr>
            <w:tcW w:w="2956" w:type="dxa"/>
          </w:tcPr>
          <w:p w14:paraId="7428B967" w14:textId="77777777" w:rsidR="00E05968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Supplies/Materials/Equipment</w:t>
            </w:r>
          </w:p>
        </w:tc>
        <w:tc>
          <w:tcPr>
            <w:tcW w:w="6219" w:type="dxa"/>
          </w:tcPr>
          <w:p w14:paraId="595D8E5E" w14:textId="77777777" w:rsidR="00E05968" w:rsidRPr="00E841A6" w:rsidRDefault="0094679B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</w:pPr>
            <w:r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Enter any costs for supplies, materials, or equipment that may have been purchased but have yet to be invoiced to the Government</w:t>
            </w:r>
            <w:r w:rsidR="00263680"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.</w:t>
            </w:r>
          </w:p>
        </w:tc>
      </w:tr>
      <w:tr w:rsidR="00745C26" w:rsidRPr="00E841A6" w14:paraId="6468310F" w14:textId="77777777" w:rsidTr="00E841A6">
        <w:tc>
          <w:tcPr>
            <w:tcW w:w="2956" w:type="dxa"/>
          </w:tcPr>
          <w:p w14:paraId="20DA16EE" w14:textId="77777777" w:rsidR="00E05968" w:rsidRPr="00E841A6" w:rsidRDefault="00E05968">
            <w:pPr>
              <w:rPr>
                <w:rFonts w:cstheme="minorHAnsi"/>
              </w:rPr>
            </w:pPr>
          </w:p>
        </w:tc>
        <w:tc>
          <w:tcPr>
            <w:tcW w:w="6219" w:type="dxa"/>
          </w:tcPr>
          <w:p w14:paraId="69AE726A" w14:textId="77777777" w:rsidR="00E05968" w:rsidRPr="00E841A6" w:rsidRDefault="00E05968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</w:pPr>
          </w:p>
        </w:tc>
      </w:tr>
      <w:tr w:rsidR="00745C26" w:rsidRPr="00E841A6" w14:paraId="49275055" w14:textId="77777777" w:rsidTr="00E841A6">
        <w:tc>
          <w:tcPr>
            <w:tcW w:w="2956" w:type="dxa"/>
          </w:tcPr>
          <w:p w14:paraId="0C2F0384" w14:textId="77777777" w:rsidR="00E05968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Travel/Training</w:t>
            </w:r>
          </w:p>
        </w:tc>
        <w:tc>
          <w:tcPr>
            <w:tcW w:w="6219" w:type="dxa"/>
          </w:tcPr>
          <w:p w14:paraId="02A6841F" w14:textId="77777777" w:rsidR="00E05968" w:rsidRPr="00E841A6" w:rsidRDefault="0094679B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</w:pPr>
            <w:r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Enter the estimated cost of any travel or training costs that have yet to be invoiced to the Government</w:t>
            </w:r>
            <w:proofErr w:type="gramStart"/>
            <w:r w:rsidR="00263680"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 xml:space="preserve">. </w:t>
            </w:r>
            <w:proofErr w:type="gramEnd"/>
          </w:p>
        </w:tc>
      </w:tr>
      <w:tr w:rsidR="00745C26" w:rsidRPr="00E841A6" w14:paraId="356DE552" w14:textId="77777777" w:rsidTr="00E841A6">
        <w:tc>
          <w:tcPr>
            <w:tcW w:w="2956" w:type="dxa"/>
          </w:tcPr>
          <w:p w14:paraId="0441BA21" w14:textId="77777777" w:rsidR="00B376D3" w:rsidRPr="00E841A6" w:rsidRDefault="00B376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19" w:type="dxa"/>
          </w:tcPr>
          <w:p w14:paraId="688E4805" w14:textId="77777777" w:rsidR="00B376D3" w:rsidRPr="00E841A6" w:rsidRDefault="00B376D3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</w:p>
        </w:tc>
      </w:tr>
      <w:tr w:rsidR="00745C26" w:rsidRPr="00E841A6" w14:paraId="3FFA6466" w14:textId="77777777" w:rsidTr="00E841A6">
        <w:tc>
          <w:tcPr>
            <w:tcW w:w="2956" w:type="dxa"/>
          </w:tcPr>
          <w:p w14:paraId="54035E25" w14:textId="77777777" w:rsidR="00C6571A" w:rsidRPr="00E841A6" w:rsidRDefault="00263680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Other</w:t>
            </w:r>
          </w:p>
        </w:tc>
        <w:tc>
          <w:tcPr>
            <w:tcW w:w="6219" w:type="dxa"/>
          </w:tcPr>
          <w:p w14:paraId="203F85BD" w14:textId="77777777" w:rsidR="00C6571A" w:rsidRPr="00E841A6" w:rsidRDefault="00263680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</w:pPr>
            <w:r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 xml:space="preserve">Separate columns identifying any other costs </w:t>
            </w:r>
            <w:r w:rsidR="005B3E3D"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carried</w:t>
            </w:r>
            <w:r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 xml:space="preserve"> in open commitments</w:t>
            </w:r>
            <w:r w:rsidR="006C1C8A" w:rsidRPr="00E841A6">
              <w:rPr>
                <w:rFonts w:asciiTheme="minorHAnsi" w:hAnsiTheme="minorHAnsi" w:cstheme="minorHAnsi"/>
                <w:color w:val="231F20"/>
                <w:spacing w:val="-1"/>
                <w:sz w:val="22"/>
                <w:szCs w:val="22"/>
              </w:rPr>
              <w:t>.</w:t>
            </w:r>
          </w:p>
        </w:tc>
      </w:tr>
      <w:tr w:rsidR="00745C26" w:rsidRPr="00E841A6" w14:paraId="67C0BB2C" w14:textId="77777777" w:rsidTr="00E841A6">
        <w:tc>
          <w:tcPr>
            <w:tcW w:w="2956" w:type="dxa"/>
          </w:tcPr>
          <w:p w14:paraId="03EA7480" w14:textId="77777777" w:rsidR="007C02EC" w:rsidRPr="00E841A6" w:rsidRDefault="007C02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19" w:type="dxa"/>
          </w:tcPr>
          <w:p w14:paraId="54840500" w14:textId="77777777" w:rsidR="007C02EC" w:rsidRPr="00E841A6" w:rsidRDefault="007C02EC" w:rsidP="00C6571A">
            <w:pPr>
              <w:pStyle w:val="BodyText"/>
              <w:tabs>
                <w:tab w:val="left" w:pos="2982"/>
              </w:tabs>
              <w:spacing w:line="229" w:lineRule="exact"/>
              <w:ind w:left="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</w:p>
        </w:tc>
      </w:tr>
      <w:tr w:rsidR="00745C26" w:rsidRPr="00E841A6" w14:paraId="1499D601" w14:textId="77777777" w:rsidTr="00E841A6">
        <w:tc>
          <w:tcPr>
            <w:tcW w:w="2956" w:type="dxa"/>
          </w:tcPr>
          <w:p w14:paraId="67D96F95" w14:textId="77777777" w:rsidR="007C02EC" w:rsidRPr="00E841A6" w:rsidRDefault="00263680" w:rsidP="00CC0EB5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Total</w:t>
            </w:r>
          </w:p>
        </w:tc>
        <w:tc>
          <w:tcPr>
            <w:tcW w:w="6219" w:type="dxa"/>
          </w:tcPr>
          <w:p w14:paraId="1B9A96D9" w14:textId="77777777" w:rsidR="007C02EC" w:rsidRPr="00E841A6" w:rsidRDefault="00263680" w:rsidP="00CC0EB5">
            <w:pPr>
              <w:rPr>
                <w:rFonts w:cstheme="minorHAnsi"/>
              </w:rPr>
            </w:pPr>
            <w:r w:rsidRPr="00E841A6">
              <w:rPr>
                <w:rFonts w:cstheme="minorHAnsi"/>
              </w:rPr>
              <w:t>Total of all open commitments.</w:t>
            </w:r>
          </w:p>
        </w:tc>
      </w:tr>
    </w:tbl>
    <w:p w14:paraId="6CB3AFAA" w14:textId="77777777" w:rsidR="00BA26B3" w:rsidRPr="00BA26B3" w:rsidRDefault="00BA26B3" w:rsidP="00E841A6">
      <w:pPr>
        <w:rPr>
          <w:rFonts w:cs="Times New Roman"/>
          <w:b/>
          <w:sz w:val="24"/>
          <w:szCs w:val="24"/>
        </w:rPr>
      </w:pPr>
    </w:p>
    <w:sectPr w:rsidR="00BA26B3" w:rsidRPr="00BA26B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BEEC" w14:textId="77777777" w:rsidR="00EA659D" w:rsidRDefault="00EA659D" w:rsidP="00E841A6">
      <w:r>
        <w:separator/>
      </w:r>
    </w:p>
  </w:endnote>
  <w:endnote w:type="continuationSeparator" w:id="0">
    <w:p w14:paraId="222CC0E5" w14:textId="77777777" w:rsidR="00EA659D" w:rsidRDefault="00EA659D" w:rsidP="00E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1513434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8403DE8" w14:textId="723A5C42" w:rsidR="00E841A6" w:rsidRPr="00E841A6" w:rsidRDefault="00E841A6">
            <w:pPr>
              <w:pStyle w:val="Footer"/>
              <w:jc w:val="center"/>
              <w:rPr>
                <w:sz w:val="20"/>
                <w:szCs w:val="20"/>
              </w:rPr>
            </w:pPr>
            <w:r w:rsidRPr="00E841A6">
              <w:rPr>
                <w:sz w:val="20"/>
                <w:szCs w:val="20"/>
              </w:rPr>
              <w:t xml:space="preserve">Page </w:t>
            </w:r>
            <w:r w:rsidRPr="00E841A6">
              <w:rPr>
                <w:b/>
                <w:bCs/>
                <w:sz w:val="20"/>
                <w:szCs w:val="20"/>
              </w:rPr>
              <w:fldChar w:fldCharType="begin"/>
            </w:r>
            <w:r w:rsidRPr="00E841A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841A6">
              <w:rPr>
                <w:b/>
                <w:bCs/>
                <w:sz w:val="20"/>
                <w:szCs w:val="20"/>
              </w:rPr>
              <w:fldChar w:fldCharType="separate"/>
            </w:r>
            <w:r w:rsidRPr="00E841A6">
              <w:rPr>
                <w:b/>
                <w:bCs/>
                <w:noProof/>
                <w:sz w:val="20"/>
                <w:szCs w:val="20"/>
              </w:rPr>
              <w:t>2</w:t>
            </w:r>
            <w:r w:rsidRPr="00E841A6">
              <w:rPr>
                <w:b/>
                <w:bCs/>
                <w:sz w:val="20"/>
                <w:szCs w:val="20"/>
              </w:rPr>
              <w:fldChar w:fldCharType="end"/>
            </w:r>
            <w:r w:rsidRPr="00E841A6">
              <w:rPr>
                <w:sz w:val="20"/>
                <w:szCs w:val="20"/>
              </w:rPr>
              <w:t xml:space="preserve"> of </w:t>
            </w:r>
            <w:r w:rsidRPr="00E841A6">
              <w:rPr>
                <w:b/>
                <w:bCs/>
                <w:sz w:val="20"/>
                <w:szCs w:val="20"/>
              </w:rPr>
              <w:fldChar w:fldCharType="begin"/>
            </w:r>
            <w:r w:rsidRPr="00E841A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841A6">
              <w:rPr>
                <w:b/>
                <w:bCs/>
                <w:sz w:val="20"/>
                <w:szCs w:val="20"/>
              </w:rPr>
              <w:fldChar w:fldCharType="separate"/>
            </w:r>
            <w:r w:rsidRPr="00E841A6">
              <w:rPr>
                <w:b/>
                <w:bCs/>
                <w:noProof/>
                <w:sz w:val="20"/>
                <w:szCs w:val="20"/>
              </w:rPr>
              <w:t>2</w:t>
            </w:r>
            <w:r w:rsidRPr="00E841A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C3BB2F" w14:textId="77777777" w:rsidR="00E841A6" w:rsidRPr="00E841A6" w:rsidRDefault="00E841A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D5E2" w14:textId="77777777" w:rsidR="00EA659D" w:rsidRDefault="00EA659D" w:rsidP="00E841A6">
      <w:r>
        <w:separator/>
      </w:r>
    </w:p>
  </w:footnote>
  <w:footnote w:type="continuationSeparator" w:id="0">
    <w:p w14:paraId="38DBDF0A" w14:textId="77777777" w:rsidR="00EA659D" w:rsidRDefault="00EA659D" w:rsidP="00E8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B3"/>
    <w:rsid w:val="00050A5A"/>
    <w:rsid w:val="00076620"/>
    <w:rsid w:val="000B1403"/>
    <w:rsid w:val="00263680"/>
    <w:rsid w:val="002B7233"/>
    <w:rsid w:val="0036751C"/>
    <w:rsid w:val="00403545"/>
    <w:rsid w:val="004E3926"/>
    <w:rsid w:val="00561046"/>
    <w:rsid w:val="005B3E3D"/>
    <w:rsid w:val="005E46AA"/>
    <w:rsid w:val="006C1C8A"/>
    <w:rsid w:val="0072597D"/>
    <w:rsid w:val="00745C26"/>
    <w:rsid w:val="007C02EC"/>
    <w:rsid w:val="008817BC"/>
    <w:rsid w:val="008A3F6A"/>
    <w:rsid w:val="008B6EE0"/>
    <w:rsid w:val="008C4FB4"/>
    <w:rsid w:val="0094679B"/>
    <w:rsid w:val="00A15BF6"/>
    <w:rsid w:val="00B376D3"/>
    <w:rsid w:val="00BA26B3"/>
    <w:rsid w:val="00C6571A"/>
    <w:rsid w:val="00C70AFE"/>
    <w:rsid w:val="00CC0EB5"/>
    <w:rsid w:val="00DC1364"/>
    <w:rsid w:val="00E05968"/>
    <w:rsid w:val="00E841A6"/>
    <w:rsid w:val="00E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08EA"/>
  <w15:chartTrackingRefBased/>
  <w15:docId w15:val="{DE125320-A4AF-4C3A-97A6-FB0E5922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BA26B3"/>
    <w:pPr>
      <w:widowControl w:val="0"/>
      <w:ind w:left="100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A26B3"/>
    <w:rPr>
      <w:rFonts w:ascii="Times New Roman" w:eastAsia="Times New Roman" w:hAnsi="Times New Roman"/>
      <w:b/>
      <w:bCs/>
      <w:i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A26B3"/>
    <w:pPr>
      <w:widowControl w:val="0"/>
      <w:ind w:left="1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A26B3"/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BA2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1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1A6"/>
  </w:style>
  <w:style w:type="paragraph" w:styleId="Footer">
    <w:name w:val="footer"/>
    <w:basedOn w:val="Normal"/>
    <w:link w:val="FooterChar"/>
    <w:uiPriority w:val="99"/>
    <w:unhideWhenUsed/>
    <w:rsid w:val="00E841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1691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J.F. Cox</dc:creator>
  <cp:lastModifiedBy>Cox, James F.</cp:lastModifiedBy>
  <cp:revision>3</cp:revision>
  <dcterms:created xsi:type="dcterms:W3CDTF">2024-01-18T14:31:00Z</dcterms:created>
  <dcterms:modified xsi:type="dcterms:W3CDTF">2024-01-18T23:22:00Z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2ff1f4cb-b65d-486d-a755-c67a77785da7</vt:lpwstr>
  </property>
</Properties>
</file>