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5D2E" w14:textId="3F688DF4" w:rsidR="00A71D50" w:rsidRPr="00A71D50" w:rsidRDefault="00A71D50" w:rsidP="00A71D50">
      <w:pPr>
        <w:pStyle w:val="Heading1"/>
        <w:spacing w:before="0" w:after="0"/>
        <w:jc w:val="center"/>
        <w:rPr>
          <w:rFonts w:asciiTheme="minorHAnsi" w:eastAsiaTheme="majorEastAsia" w:hAnsiTheme="minorHAnsi" w:cstheme="minorHAnsi"/>
          <w:b w:val="0"/>
          <w:bCs w:val="0"/>
          <w:i/>
          <w:smallCaps/>
          <w:sz w:val="22"/>
          <w:szCs w:val="22"/>
          <w:u w:val="single"/>
        </w:rPr>
      </w:pPr>
      <w:bookmarkStart w:id="0" w:name="_Toc497406305"/>
      <w:bookmarkStart w:id="1" w:name="_Toc66856305"/>
      <w:bookmarkStart w:id="2" w:name="_Toc71796281"/>
      <w:bookmarkStart w:id="3" w:name="_Toc71809185"/>
      <w:bookmarkStart w:id="4" w:name="_Toc73859700"/>
      <w:bookmarkStart w:id="5" w:name="_Toc73860384"/>
      <w:bookmarkStart w:id="6" w:name="_Toc82752393"/>
      <w:r w:rsidRPr="00A71D50">
        <w:rPr>
          <w:rFonts w:asciiTheme="minorHAnsi" w:eastAsiaTheme="majorEastAsia" w:hAnsiTheme="minorHAnsi" w:cstheme="minorHAnsi"/>
          <w:i/>
          <w:smallCaps/>
          <w:sz w:val="22"/>
          <w:szCs w:val="22"/>
          <w:u w:val="single"/>
        </w:rPr>
        <w:t>E</w:t>
      </w:r>
      <w:r>
        <w:rPr>
          <w:rFonts w:asciiTheme="minorHAnsi" w:eastAsiaTheme="majorEastAsia" w:hAnsiTheme="minorHAnsi" w:cstheme="minorHAnsi"/>
          <w:i/>
          <w:smallCaps/>
          <w:sz w:val="22"/>
          <w:szCs w:val="22"/>
          <w:u w:val="single"/>
        </w:rPr>
        <w:t>qual Employment Opportunity and Inclusion Report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HAnsi" w:eastAsiaTheme="majorEastAsia" w:hAnsiTheme="minorHAnsi" w:cstheme="minorHAnsi"/>
          <w:i/>
          <w:smallCaps/>
          <w:sz w:val="22"/>
          <w:szCs w:val="22"/>
          <w:u w:val="single"/>
        </w:rPr>
        <w:t xml:space="preserve"> (December 2023)</w:t>
      </w:r>
    </w:p>
    <w:p w14:paraId="5351B603" w14:textId="77777777" w:rsidR="00A71D50" w:rsidRDefault="00A71D50" w:rsidP="00A71D50">
      <w:pPr>
        <w:jc w:val="both"/>
      </w:pPr>
    </w:p>
    <w:p w14:paraId="6FE19FFF" w14:textId="291AA1FC" w:rsidR="00A71D50" w:rsidRDefault="00A71D50" w:rsidP="00A71D50">
      <w:pPr>
        <w:jc w:val="both"/>
      </w:pPr>
    </w:p>
    <w:p w14:paraId="4B7FCA47" w14:textId="77777777" w:rsidR="00A71D50" w:rsidRPr="00D20E5C" w:rsidRDefault="00A71D50" w:rsidP="00A71D50">
      <w:pPr>
        <w:jc w:val="both"/>
        <w:rPr>
          <w:rFonts w:ascii="Calibri" w:hAnsi="Calibri"/>
          <w:b/>
          <w:i/>
          <w:smallCaps/>
        </w:rPr>
      </w:pPr>
      <w:r w:rsidRPr="00D20E5C">
        <w:rPr>
          <w:rFonts w:ascii="Calibri" w:hAnsi="Calibri"/>
          <w:b/>
          <w:i/>
          <w:smallCaps/>
        </w:rPr>
        <w:t>Purpose</w:t>
      </w:r>
    </w:p>
    <w:p w14:paraId="44430091" w14:textId="59799B55" w:rsidR="00A71D50" w:rsidRDefault="00A71D50" w:rsidP="00A71D50">
      <w:pPr>
        <w:jc w:val="both"/>
      </w:pPr>
    </w:p>
    <w:p w14:paraId="13D7F287" w14:textId="77777777" w:rsidR="007A03C3" w:rsidRDefault="007A03C3" w:rsidP="007A03C3">
      <w:pPr>
        <w:jc w:val="both"/>
      </w:pPr>
      <w:r w:rsidRPr="00A71D50">
        <w:t xml:space="preserve">The NETL Equal Employment Opportunity (EEO) and Inclusion Report has a twofold purpose.  </w:t>
      </w:r>
    </w:p>
    <w:p w14:paraId="5E7FD2AC" w14:textId="77777777" w:rsidR="007A03C3" w:rsidRDefault="007A03C3" w:rsidP="007A03C3">
      <w:pPr>
        <w:jc w:val="both"/>
      </w:pPr>
    </w:p>
    <w:p w14:paraId="68C20213" w14:textId="77777777" w:rsidR="007A03C3" w:rsidRDefault="007A03C3" w:rsidP="007A03C3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>
        <w:t>First</w:t>
      </w:r>
      <w:r w:rsidRPr="00A71D50">
        <w:t xml:space="preserve">, it aims to assess the annual compliance of NETL Site Support Contractors (SSC) with EEO laws, DOE EEO directives and orders, </w:t>
      </w:r>
      <w:r>
        <w:t xml:space="preserve">and </w:t>
      </w:r>
      <w:r w:rsidRPr="00A71D50">
        <w:t xml:space="preserve">other requirements pursuant to the Energy Policy Act of 2005, Public Law 109-58.  </w:t>
      </w:r>
    </w:p>
    <w:p w14:paraId="75D67AD3" w14:textId="77777777" w:rsidR="007A03C3" w:rsidRDefault="007A03C3" w:rsidP="007A03C3">
      <w:pPr>
        <w:pStyle w:val="ListParagraph"/>
        <w:numPr>
          <w:ilvl w:val="0"/>
          <w:numId w:val="1"/>
        </w:numPr>
        <w:jc w:val="both"/>
      </w:pPr>
      <w:r w:rsidRPr="00A71D50">
        <w:t>Secondly, it provides contractor workforce data to support the Human Resources section of the NETL Annual Laboratory Plan, as provided to DOE Headquarters.</w:t>
      </w:r>
    </w:p>
    <w:p w14:paraId="7CEFF7A5" w14:textId="77777777" w:rsidR="007A03C3" w:rsidRDefault="007A03C3" w:rsidP="00A71D50">
      <w:pPr>
        <w:jc w:val="both"/>
      </w:pPr>
    </w:p>
    <w:p w14:paraId="0E36E7D4" w14:textId="77777777" w:rsidR="007A03C3" w:rsidRPr="00D20E5C" w:rsidRDefault="007A03C3" w:rsidP="007A03C3">
      <w:pPr>
        <w:jc w:val="both"/>
        <w:rPr>
          <w:rFonts w:ascii="Calibri" w:hAnsi="Calibri"/>
          <w:b/>
          <w:i/>
          <w:smallCaps/>
        </w:rPr>
      </w:pPr>
      <w:r w:rsidRPr="00D20E5C">
        <w:rPr>
          <w:rFonts w:ascii="Calibri" w:hAnsi="Calibri"/>
          <w:b/>
          <w:i/>
          <w:smallCaps/>
        </w:rPr>
        <w:t>Form</w:t>
      </w:r>
    </w:p>
    <w:p w14:paraId="6B686F41" w14:textId="77777777" w:rsidR="007A03C3" w:rsidRPr="00D20E5C" w:rsidRDefault="007A03C3" w:rsidP="007A03C3">
      <w:pPr>
        <w:jc w:val="both"/>
        <w:rPr>
          <w:rFonts w:ascii="Calibri" w:hAnsi="Calibri"/>
          <w:b/>
          <w:i/>
          <w:u w:val="single"/>
        </w:rPr>
      </w:pPr>
    </w:p>
    <w:p w14:paraId="2080F625" w14:textId="60510AEA" w:rsidR="007A03C3" w:rsidRPr="00D20E5C" w:rsidRDefault="007A03C3" w:rsidP="007A03C3">
      <w:pPr>
        <w:jc w:val="both"/>
        <w:rPr>
          <w:rFonts w:ascii="Calibri" w:hAnsi="Calibri"/>
        </w:rPr>
      </w:pPr>
      <w:r w:rsidRPr="00D20E5C">
        <w:rPr>
          <w:rFonts w:ascii="Calibri" w:hAnsi="Calibri"/>
        </w:rPr>
        <w:t>An Excel workbook (</w:t>
      </w:r>
      <w:r>
        <w:rPr>
          <w:rFonts w:ascii="Calibri" w:hAnsi="Calibri"/>
        </w:rPr>
        <w:t xml:space="preserve">SSC EEO </w:t>
      </w:r>
      <w:r w:rsidR="00847D1D">
        <w:rPr>
          <w:rFonts w:ascii="Calibri" w:hAnsi="Calibri"/>
        </w:rPr>
        <w:t>Inclusion Report</w:t>
      </w:r>
      <w:r>
        <w:rPr>
          <w:rFonts w:ascii="Calibri" w:hAnsi="Calibri"/>
        </w:rPr>
        <w:t xml:space="preserve"> Template</w:t>
      </w:r>
      <w:r w:rsidRPr="00D20E5C">
        <w:rPr>
          <w:rFonts w:ascii="Calibri" w:hAnsi="Calibri"/>
        </w:rPr>
        <w:t>.xls) has been included as a sample template</w:t>
      </w:r>
      <w:r w:rsidR="00847D1D">
        <w:rPr>
          <w:rFonts w:ascii="Calibri" w:hAnsi="Calibri"/>
        </w:rPr>
        <w:t xml:space="preserve"> in Part III, Section J.</w:t>
      </w:r>
      <w:r w:rsidRPr="00D20E5C">
        <w:rPr>
          <w:rFonts w:ascii="Calibri" w:hAnsi="Calibri"/>
        </w:rPr>
        <w:t xml:space="preserve">   </w:t>
      </w:r>
    </w:p>
    <w:p w14:paraId="19DFA65C" w14:textId="77777777" w:rsidR="007A03C3" w:rsidRDefault="007A03C3" w:rsidP="00A71D50">
      <w:pPr>
        <w:jc w:val="both"/>
      </w:pPr>
    </w:p>
    <w:p w14:paraId="5E9859C5" w14:textId="68EE6733" w:rsidR="008B5359" w:rsidRPr="00847D1D" w:rsidRDefault="00847D1D" w:rsidP="008B535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i/>
          <w:iCs/>
          <w:smallCaps/>
        </w:rPr>
      </w:pPr>
      <w:r>
        <w:rPr>
          <w:b/>
          <w:bCs/>
          <w:i/>
          <w:iCs/>
          <w:smallCaps/>
        </w:rPr>
        <w:t xml:space="preserve">Scope of </w:t>
      </w:r>
      <w:r w:rsidR="008B5359" w:rsidRPr="00847D1D">
        <w:rPr>
          <w:b/>
          <w:bCs/>
          <w:i/>
          <w:iCs/>
          <w:smallCaps/>
        </w:rPr>
        <w:t>Contractor Workforce Data Set</w:t>
      </w:r>
    </w:p>
    <w:p w14:paraId="15B8CB7C" w14:textId="77777777" w:rsidR="008B5359" w:rsidRPr="00916A05" w:rsidRDefault="008B5359" w:rsidP="008B535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D63239E" w14:textId="7AA9559D" w:rsidR="008B5359" w:rsidRPr="00916A05" w:rsidRDefault="008B5359" w:rsidP="008B535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16A05">
        <w:t xml:space="preserve">The NETL contractor shall provide summary-level Headcount and FTE data on contractor personnel for the NETL-defined labor categories and ethnic groups (e.g., Blacks, Hispanics, Women, etc.) as detailed in the annual NETL EEO Data Collection template.  </w:t>
      </w:r>
      <w:r w:rsidR="00847D1D">
        <w:t>The scope</w:t>
      </w:r>
      <w:r w:rsidRPr="00916A05">
        <w:t xml:space="preserve"> of this data collection will take into account the following contractor employee groups:  </w:t>
      </w:r>
    </w:p>
    <w:p w14:paraId="0F5A60DC" w14:textId="77777777" w:rsidR="008B5359" w:rsidRPr="00916A05" w:rsidRDefault="008B5359" w:rsidP="008B535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9428029" w14:textId="77777777" w:rsidR="008B5359" w:rsidRPr="00916A05" w:rsidRDefault="008B5359" w:rsidP="00847D1D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contextualSpacing w:val="0"/>
      </w:pPr>
      <w:r w:rsidRPr="00916A05">
        <w:t>On-site and off-site contractor employees who work 50% or more of their time in support of the NETL contract (regardless of their geographic work station);</w:t>
      </w:r>
    </w:p>
    <w:p w14:paraId="273B6D21" w14:textId="77777777" w:rsidR="008B5359" w:rsidRPr="00916A05" w:rsidRDefault="008B5359" w:rsidP="00847D1D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contextualSpacing w:val="0"/>
      </w:pPr>
      <w:r w:rsidRPr="00916A05">
        <w:t>Prime contractor employees onboard as of the end of the Federal fiscal year;</w:t>
      </w:r>
    </w:p>
    <w:p w14:paraId="2DD6425D" w14:textId="77777777" w:rsidR="008B5359" w:rsidRPr="00916A05" w:rsidRDefault="008B5359" w:rsidP="008B5359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16A05">
        <w:t>Subcontractors who are prime participants and whose labor is directly invoiced to the government.</w:t>
      </w:r>
    </w:p>
    <w:p w14:paraId="0FBCA62E" w14:textId="77777777" w:rsidR="008B5359" w:rsidRPr="00916A05" w:rsidRDefault="008B5359" w:rsidP="008B535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33FF59F" w14:textId="77777777" w:rsidR="008B5359" w:rsidRPr="00847D1D" w:rsidRDefault="008B5359" w:rsidP="008B535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iCs/>
          <w:smallCaps/>
        </w:rPr>
      </w:pPr>
      <w:r w:rsidRPr="00847D1D">
        <w:rPr>
          <w:b/>
          <w:bCs/>
          <w:i/>
          <w:iCs/>
          <w:smallCaps/>
        </w:rPr>
        <w:t>Submittal Information</w:t>
      </w:r>
    </w:p>
    <w:p w14:paraId="57BEB678" w14:textId="74DBB4DF" w:rsidR="008B5359" w:rsidRPr="00916A05" w:rsidRDefault="008B5359" w:rsidP="008B535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A6AEE0A" w14:textId="77777777" w:rsidR="008B5359" w:rsidRPr="00916A05" w:rsidRDefault="008B5359" w:rsidP="00847D1D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contextualSpacing w:val="0"/>
      </w:pPr>
      <w:r w:rsidRPr="00916A05">
        <w:t xml:space="preserve">Total Permanent Workforce as of the end of the Federal fiscal </w:t>
      </w:r>
      <w:proofErr w:type="gramStart"/>
      <w:r w:rsidRPr="00916A05">
        <w:t>year;</w:t>
      </w:r>
      <w:proofErr w:type="gramEnd"/>
    </w:p>
    <w:p w14:paraId="033AC450" w14:textId="77777777" w:rsidR="008B5359" w:rsidRPr="00916A05" w:rsidRDefault="008B5359" w:rsidP="00847D1D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contextualSpacing w:val="0"/>
      </w:pPr>
      <w:r w:rsidRPr="00916A05">
        <w:t xml:space="preserve">Paid Student Employees on board during the Federal fiscal </w:t>
      </w:r>
      <w:proofErr w:type="gramStart"/>
      <w:r w:rsidRPr="00916A05">
        <w:t>year;</w:t>
      </w:r>
      <w:proofErr w:type="gramEnd"/>
    </w:p>
    <w:p w14:paraId="0089D9E7" w14:textId="77777777" w:rsidR="008B5359" w:rsidRPr="00916A05" w:rsidRDefault="008B5359" w:rsidP="00847D1D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contextualSpacing w:val="0"/>
      </w:pPr>
      <w:r w:rsidRPr="00916A05">
        <w:t>Temporary Personnel on board during the Federal fiscal year; and,</w:t>
      </w:r>
    </w:p>
    <w:p w14:paraId="4379262C" w14:textId="55A5A0F2" w:rsidR="008B5359" w:rsidRPr="00916A05" w:rsidRDefault="008B5359" w:rsidP="008B5359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16A05">
        <w:t xml:space="preserve">Copy of the company’s most recent official EEO policies (i.e., can include </w:t>
      </w:r>
      <w:r w:rsidR="00847D1D">
        <w:t>website</w:t>
      </w:r>
      <w:r w:rsidRPr="00916A05">
        <w:t xml:space="preserve"> posting).</w:t>
      </w:r>
    </w:p>
    <w:sectPr w:rsidR="008B5359" w:rsidRPr="00916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D66"/>
    <w:multiLevelType w:val="hybridMultilevel"/>
    <w:tmpl w:val="476A3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3F9"/>
    <w:multiLevelType w:val="hybridMultilevel"/>
    <w:tmpl w:val="DF7E9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4766E"/>
    <w:multiLevelType w:val="hybridMultilevel"/>
    <w:tmpl w:val="32985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3064B"/>
    <w:multiLevelType w:val="hybridMultilevel"/>
    <w:tmpl w:val="1EC4B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256273">
    <w:abstractNumId w:val="3"/>
  </w:num>
  <w:num w:numId="2" w16cid:durableId="2060930380">
    <w:abstractNumId w:val="1"/>
  </w:num>
  <w:num w:numId="3" w16cid:durableId="915826033">
    <w:abstractNumId w:val="0"/>
  </w:num>
  <w:num w:numId="4" w16cid:durableId="173692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50"/>
    <w:rsid w:val="001637A3"/>
    <w:rsid w:val="0036624B"/>
    <w:rsid w:val="00415A0F"/>
    <w:rsid w:val="005A17B8"/>
    <w:rsid w:val="007A03C3"/>
    <w:rsid w:val="00847D1D"/>
    <w:rsid w:val="008B48BF"/>
    <w:rsid w:val="008B5359"/>
    <w:rsid w:val="00A71D50"/>
    <w:rsid w:val="00D0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4947"/>
  <w15:chartTrackingRefBased/>
  <w15:docId w15:val="{85D035DD-7BD6-4E03-913A-F0FBE164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71D50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1D50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71D5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8B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1449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James F.</dc:creator>
  <cp:keywords/>
  <dc:description/>
  <cp:lastModifiedBy>Cox, James F.</cp:lastModifiedBy>
  <cp:revision>3</cp:revision>
  <dcterms:created xsi:type="dcterms:W3CDTF">2024-01-19T16:35:00Z</dcterms:created>
  <dcterms:modified xsi:type="dcterms:W3CDTF">2024-01-19T16:37:00Z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17ae96aa-5e5d-4618-bb60-09aab972a0b2</vt:lpwstr>
  </property>
</Properties>
</file>